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8.png" ContentType="image/png"/>
  <Override PartName="/word/media/image27.png" ContentType="image/png"/>
  <Override PartName="/word/media/image23.png" ContentType="image/png"/>
  <Override PartName="/word/media/image9.png" ContentType="image/png"/>
  <Override PartName="/word/media/image17.wmf" ContentType="image/x-wmf"/>
  <Override PartName="/word/media/image30.png" ContentType="image/png"/>
  <Override PartName="/word/media/image28.png" ContentType="image/png"/>
  <Override PartName="/word/media/image13.wmf" ContentType="image/x-wmf"/>
  <Override PartName="/word/media/image24.png" ContentType="image/png"/>
  <Override PartName="/word/media/image20.png" ContentType="image/png"/>
  <Override PartName="/word/media/image18.png" ContentType="image/png"/>
  <Override PartName="/word/media/image14.png" ContentType="image/png"/>
  <Override PartName="/word/media/image33.jpeg" ContentType="image/jpeg"/>
  <Override PartName="/word/media/image10.png" ContentType="image/png"/>
  <Override PartName="/word/media/image31.png" ContentType="image/png"/>
  <Override PartName="/word/media/image29.png" ContentType="image/png"/>
  <Override PartName="/word/media/image6.png" ContentType="image/png"/>
  <Override PartName="/word/media/image25.png" ContentType="image/png"/>
  <Override PartName="/word/media/image19.png" ContentType="image/png"/>
  <Override PartName="/word/media/image21.png" ContentType="image/png"/>
  <Override PartName="/word/media/image11.png" ContentType="image/png"/>
  <Override PartName="/word/media/image32.png" ContentType="image/png"/>
  <Override PartName="/word/media/image7.png" ContentType="image/png"/>
  <Override PartName="/word/media/image15.wmf" ContentType="image/x-wmf"/>
  <Override PartName="/word/media/image26.png" ContentType="image/png"/>
  <Override PartName="/word/media/image22.png" ContentType="image/png"/>
  <Override PartName="/word/media/image16.png" ContentType="image/png"/>
  <Override PartName="/word/media/image12.png" ContentType="image/png"/>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footer2.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standalone="yes"?>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w:body><w:p><w:pPr><w:pStyle w:val="style0"/><w:spacing w:after="0" w:before="0" w:line="100" w:lineRule="atLeast"/><w:jc w:val="center"/></w:pPr><w:r><w:rPr><w:rFonts w:ascii="Times New Roman" w:hAnsi="Times New Roman"/><w:sz w:val="24"/><w:szCs w:val="24"/></w:rPr><w:pict><v:rect id="shape_0" style="position:absolute;margin-left:399.6pt;margin-top:64.4pt;width:19.85pt;height:14.95pt"><v:wrap v:type="none"/><v:fill color="white" color2="black" detectmouseclick="t" type="solid"/><v:stroke color="gray" joinstyle="round"/></v:rect></w:pict><w:pict><v:rect id="shape_0" style="position:absolute;margin-left:401.8pt;margin-top:82.25pt;width:33.55pt;height:29.55pt"><v:wrap v:type="none"/><v:fill color="white" color2="black" detectmouseclick="t" type="solid"/><v:stroke color="gray" joinstyle="round"/></v:rect></w:pict><w:pict><v:rect id="shape_0" style="position:absolute;margin-left:397pt;margin-top:44.45pt;width:33.55pt;height:29.55pt"><v:wrap v:type="none"/><v:fill color="white" color2="black" detectmouseclick="t" type="solid"/><v:stroke color="gray" joinstyle="round"/></v:rect></w:pict><w:pict><v:rect id="shape_0" style="position:absolute;margin-left:403.35pt;margin-top:41pt;width:19.85pt;height:14.95pt"><v:wrap v:type="none"/><v:fill color="white" color2="black" detectmouseclick="t" type="solid"/><v:stroke color="gray" joinstyle="round"/></v:rect></w:pict><w:pict><v:rect id="shape_0" style="position:absolute;margin-left:403.35pt;margin-top:58.7pt;width:19.85pt;height:14.95pt"><v:wrap v:type="none"/><v:fill color="white" color2="black" detectmouseclick="t" type="solid"/><v:stroke color="gray" joinstyle="round"/></v:rect></w:pict><w:pict><v:rect id="shape_0" style="position:absolute;margin-left:401.1pt;margin-top:67.1pt;width:19.85pt;height:14.95pt"><v:wrap v:type="none"/><v:fill color="white" color2="black" detectmouseclick="t" type="solid"/><v:stroke color="gray" joinstyle="round"/></v:rect></w:pict><w:pict><v:rect id="shape_0" style="position:absolute;margin-left:398.85pt;margin-top:61.8pt;width:19.85pt;height:14.95pt"><v:wrap v:type="none"/><v:fill color="white" color2="black" detectmouseclick="t" type="solid"/><v:stroke color="gray" joinstyle="round"/></v:rect></w:pict><w:pict><v:rect id="shape_0" style="position:absolute;margin-left:398.95pt;margin-top:180.7pt;width:22.55pt;height:20.05pt"><v:wrap v:type="none"/><v:fill color="white" color2="black" detectmouseclick="t" type="solid"/><v:stroke color="white" joinstyle="round" weight="25560"/></v:rect></w:pict><w:pict><v:rect id="shape_0" style="position:absolute;margin-left:397.3pt;margin-top:146.5pt;width:20.9pt;height:15pt"><v:wrap v:type="none"/><v:fill color="white" color2="black" detectmouseclick="t" type="solid"/><v:stroke color="white" joinstyle="round" weight="25560"/></v:rect></w:pict><w:pict><v:rect id="shape_0" style="position:absolute;margin-left:396.05pt;margin-top:50.9pt;width:20.85pt;height:15pt"><v:wrap v:type="none"/><v:fill color="white" color2="black" detectmouseclick="t" type="solid"/><v:stroke color="white" joinstyle="round" weight="25560"/></v:rect></w:pict><w:drawing><wp:anchor allowOverlap="1" behindDoc="0" distB="0" distL="0" distR="0" distT="0" layoutInCell="1" locked="0" relativeHeight="0" simplePos="0"><wp:simplePos x="0" y="0"/><wp:positionH relativeFrom="character"><wp:posOffset>5105400</wp:posOffset></wp:positionH><wp:positionV relativeFrom="line"><wp:posOffset>38735</wp:posOffset></wp:positionV><wp:extent cx="912495" cy="709930"/><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a:srcRect/><a:stretch><a:fillRect/></a:stretch></pic:blipFill><pic:spPr bwMode="auto"><a:xfrm><a:off x="0" y="0"/><a:ext cx="912495" cy="709930"/></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-600710</wp:posOffset></wp:positionH><wp:positionV relativeFrom="line"><wp:posOffset>137160</wp:posOffset></wp:positionV><wp:extent cx="623570" cy="794385"/><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3"/><a:srcRect/><a:stretch><a:fillRect/></a:stretch></pic:blipFill><pic:spPr bwMode="auto"><a:xfrm><a:off x="0" y="0"/><a:ext cx="623570" cy="794385"/></a:xfrm><a:prstGeom prst="rect"><a:avLst/></a:prstGeom><a:noFill/><a:ln w="9525"><a:noFill/><a:miter lim="800000"/><a:headEnd/><a:tailEnd/></a:ln></pic:spPr></pic:pic></a:graphicData></a:graphic></wp:anchor></w:drawing></w:r></w:p><w:p><w:pPr><w:pStyle w:val="style0"/><w:spacing w:after="0" w:before="0" w:line="100" w:lineRule="atLeast"/><w:jc w:val="center"/></w:pPr><w:r><w:rPr><w:rFonts w:ascii="Times New Roman" w:hAnsi="Times New Roman"/><w:sz w:val="24"/><w:szCs w:val="24"/></w:rPr><w:t>UNIVERSIDAD DE CARABOBO</w:t></w:r></w:p><w:p><w:pPr><w:pStyle w:val="style0"/><w:spacing w:after="0" w:before="0" w:line="100" w:lineRule="atLeast"/><w:jc w:val="center"/></w:pPr><w:r><w:rPr><w:rFonts w:ascii="Times New Roman" w:hAnsi="Times New Roman"/><w:sz w:val="24"/><w:szCs w:val="24"/></w:rPr><w:t>FACULTAD DE CIENCIAS ECONÓMICAS Y SOCIALES</w:t></w:r></w:p><w:p><w:pPr><w:pStyle w:val="style0"/><w:spacing w:after="0" w:before="0" w:line="100" w:lineRule="atLeast"/><w:jc w:val="center"/></w:pPr><w:r><w:rPr><w:rFonts w:ascii="Times New Roman" w:hAnsi="Times New Roman"/><w:sz w:val="24"/><w:szCs w:val="24"/></w:rPr><w:t>ÁREA DE ESTUDIOS DE POSTGRADO</w:t></w:r></w:p><w:p><w:pPr><w:pStyle w:val="style0"/><w:spacing w:after="0" w:before="0" w:line="100" w:lineRule="atLeast"/><w:jc w:val="center"/></w:pPr><w:r><w:rPr><w:rFonts w:ascii="Times New Roman" w:hAnsi="Times New Roman"/><w:sz w:val="24"/><w:szCs w:val="24"/></w:rPr><w:t xml:space="preserve">MAESTRÍA EN ADMINISTRACIÓN DE EMPRESAS MENCIÓN </w:t></w:r></w:p><w:p><w:pPr><w:pStyle w:val="style0"/><w:spacing w:after="0" w:before="0" w:line="100" w:lineRule="atLeast"/><w:jc w:val="center"/></w:pPr><w:r><w:rPr><w:rFonts w:ascii="Times New Roman" w:hAnsi="Times New Roman"/><w:sz w:val="24"/><w:szCs w:val="24"/></w:rPr><w:t>FINANZAS</w:t></w:r></w:p><w:p><w:pPr><w:pStyle w:val="style0"/><w:spacing w:after="0" w:before="0" w:line="100" w:lineRule="atLeast"/><w:jc w:val="center"/></w:pPr><w:r><w:rPr><w:rFonts w:ascii="Times New Roman" w:hAnsi="Times New Roman"/><w:sz w:val="24"/><w:szCs w:val="24"/></w:rPr><w:t>CAMPUS BÁRBULA</w:t></w:r></w:p><w:p><w:pPr><w:pStyle w:val="style0"/><w:spacing w:line="360" w:lineRule="auto"/><w:jc w:val="center"/></w:pPr><w:r><w:rPr><w:rFonts w:ascii="Times New Roman" w:hAnsi="Times New Roman"/><w:sz w:val="24"/><w:szCs w:val="24"/></w:rPr></w:r></w:p><w:p><w:pPr><w:pStyle w:val="style0"/><w:spacing w:line="360" w:lineRule="auto"/><w:jc w:val="center"/></w:pPr><w:r><w:rPr><w:rFonts w:ascii="Times New Roman" w:hAnsi="Times New Roman"/><w:sz w:val="24"/><w:szCs w:val="24"/></w:rPr></w:r></w:p><w:p><w:pPr><w:pStyle w:val="style0"/><w:spacing w:line="100" w:lineRule="atLeast"/><w:jc w:val="both"/></w:pPr><w:r><w:rPr><w:rFonts w:ascii="Times New Roman" w:hAnsi="Times New Roman"/><w:sz w:val="24"/><w:szCs w:val="24"/></w:rPr><w:t>Línea de Investigación: Gestión Financiera y Sistema Empresarial Venezolano</w:t></w:r></w:p><w:p><w:pPr><w:pStyle w:val="style0"/><w:spacing w:after="384" w:before="160" w:line="360" w:lineRule="auto"/><w:jc w:val="both"/></w:pPr><w:r><w:rPr><w:rFonts w:ascii="Times New Roman" w:hAnsi="Times New Roman"/><w:b/><w:sz w:val="24"/><w:szCs w:val="24"/><w:lang w:val="es-ES"/></w:rPr></w:r></w:p><w:p><w:pPr><w:pStyle w:val="style0"/><w:spacing w:after="384" w:before="160" w:line="360" w:lineRule="auto"/><w:jc w:val="both"/></w:pPr><w:r><w:rPr><w:rFonts w:ascii="Times New Roman" w:hAnsi="Times New Roman"/><w:b/><w:sz w:val="24"/><w:szCs w:val="24"/><w:lang w:val="es-ES"/></w:rPr></w:r></w:p><w:p><w:pPr><w:pStyle w:val="style0"/><w:spacing w:after="384" w:before="160" w:line="100" w:lineRule="atLeast"/><w:jc w:val="center"/></w:pPr><w:r><w:rPr><w:rFonts w:ascii="Times New Roman" w:hAnsi="Times New Roman"/><w:b/><w:sz w:val="36"/><w:szCs w:val="36"/><w:lang w:val="es-ES"/></w:rPr></w:r></w:p><w:p><w:pPr><w:pStyle w:val="style0"/><w:spacing w:after="0" w:before="0" w:line="100" w:lineRule="atLeast"/><w:jc w:val="center"/></w:pPr><w:r><w:rPr><w:rFonts w:ascii="Times New Roman" w:hAnsi="Times New Roman"/><w:sz w:val="24"/><w:szCs w:val="24"/><w:lang w:val="es-ES"/></w:rPr><w:t xml:space="preserve">PROPUESTA DE UN MODELO DE PLANIFICACIÓN FINANCIERA BASADO EN EL </w:t></w:r><w:r><w:rPr><w:rFonts w:ascii="Times New Roman" w:hAnsi="Times New Roman"/><w:i/><w:sz w:val="24"/><w:szCs w:val="24"/><w:lang w:val="es-ES"/></w:rPr><w:t>BALANCED SCORECARD</w:t></w:r><w:r><w:rPr><w:rFonts w:ascii="Times New Roman" w:hAnsi="Times New Roman"/><w:sz w:val="24"/><w:szCs w:val="24"/><w:lang w:val="es-ES"/></w:rPr><w:t xml:space="preserve"> PARA LA MAXIMIZACIÓN DE BENEFICIOS DEL FRIGORÍFICO INDUSTRIAL CARABOBO</w:t></w:r></w:p><w:p><w:pPr><w:pStyle w:val="style0"/><w:spacing w:after="0" w:before="0" w:line="100" w:lineRule="atLeast"/><w:jc w:val="center"/></w:pPr><w:r><w:rPr><w:rFonts w:ascii="Times New Roman" w:hAnsi="Times New Roman"/><w:sz w:val="24"/><w:szCs w:val="24"/><w:lang w:val="es-ES"/></w:rPr><w:t>UBICADO EN EL MUNICIPIO VALENCIA, ESTADO CARABOBO</w:t></w:r></w:p><w:p><w:pPr><w:pStyle w:val="style0"/><w:spacing w:after="384" w:before="160" w:line="100" w:lineRule="atLeast"/></w:pPr><w:r><w:rPr><w:rFonts w:ascii="Times New Roman" w:hAnsi="Times New Roman"/><w:sz w:val="24"/><w:szCs w:val="24"/><w:lang w:val="es-ES"/></w:rPr></w:r></w:p><w:p><w:pPr><w:pStyle w:val="style0"/><w:spacing w:after="384" w:before="160" w:line="100" w:lineRule="atLeast"/></w:pPr><w:r><w:rPr><w:rFonts w:ascii="Times New Roman" w:hAnsi="Times New Roman"/><w:sz w:val="24"/><w:szCs w:val="24"/><w:lang w:val="es-ES"/></w:rPr></w:r></w:p><w:p><w:pPr><w:pStyle w:val="style0"/><w:spacing w:after="0" w:before="0" w:line="100" w:lineRule="atLeast"/><w:jc w:val="right"/></w:pPr><w:r><w:rPr><w:rFonts w:ascii="Times New Roman" w:hAnsi="Times New Roman"/><w:sz w:val="24"/><w:szCs w:val="24"/><w:lang w:val="es-ES"/></w:rPr></w:r></w:p><w:p><w:pPr><w:pStyle w:val="style0"/><w:spacing w:after="0" w:before="0" w:line="100" w:lineRule="atLeast"/><w:ind w:hanging="0" w:left="0" w:right="707"/><w:jc w:val="right"/></w:pPr><w:r><w:rPr><w:rFonts w:ascii="Times New Roman" w:hAnsi="Times New Roman"/><w:sz w:val="24"/><w:szCs w:val="24"/><w:lang w:val="es-ES"/></w:rPr><w:t>Autora:</w:t></w:r></w:p><w:p><w:pPr><w:pStyle w:val="style0"/><w:spacing w:after="0" w:before="0" w:line="100" w:lineRule="atLeast"/><w:jc w:val="right"/></w:pPr><w:r><w:rPr><w:rFonts w:ascii="Times New Roman" w:hAnsi="Times New Roman"/><w:sz w:val="24"/><w:szCs w:val="24"/><w:lang w:val="es-ES"/></w:rPr><w:t>Bello, Victoria</w:t></w:r></w:p><w:p><w:pPr><w:pStyle w:val="style0"/><w:spacing w:after="0" w:before="0" w:line="100" w:lineRule="atLeast"/><w:jc w:val="right"/></w:pPr><w:r><w:rPr><w:rFonts w:ascii="Times New Roman" w:hAnsi="Times New Roman"/><w:sz w:val="24"/><w:szCs w:val="24"/><w:lang w:val="es-ES"/></w:rPr><w:t>V-18.189.478</w:t></w:r></w:p><w:p><w:pPr><w:pStyle w:val="style0"/><w:spacing w:after="384" w:before="160" w:line="360" w:lineRule="auto"/><w:jc w:val="both"/></w:pPr><w:r><w:rPr><w:rFonts w:ascii="Times New Roman" w:hAnsi="Times New Roman"/><w:b/><w:sz w:val="24"/><w:szCs w:val="24"/><w:lang w:val="es-ES"/></w:rPr></w:r></w:p><w:p><w:pPr><w:pStyle w:val="style0"/><w:spacing w:after="384" w:before="160" w:line="360" w:lineRule="auto"/><w:jc w:val="both"/></w:pPr><w:r><w:rPr><w:rFonts w:ascii="Times New Roman" w:hAnsi="Times New Roman"/><w:b/><w:sz w:val="24"/><w:szCs w:val="24"/><w:lang w:val="es-ES"/></w:rPr></w:r></w:p><w:p><w:pPr><w:sectPr><w:footerReference r:id="rId4" w:type="first"/><w:type w:val="nextPage"/><w:pgSz w:h="15840" w:w="12240"/><w:pgMar w:bottom="1049" w:footer="992" w:gutter="0" w:header="0" w:left="2268" w:right="1701" w:top="2268"/><w:pgNumType w:fmt="decimal"/><w:formProt w:val="false"/><w:titlePg/><w:textDirection w:val="lrTb"/><w:docGrid w:charSpace="4096" w:linePitch="360" w:type="default"/></w:sectPr><w:pStyle w:val="style44"/></w:pPr><w:r><w:rPr><w:rFonts w:ascii="Times New Roman" w:hAnsi="Times New Roman"/><w:sz w:val="24"/><w:szCs w:val="24"/><w:lang w:val="es-ES"/></w:rPr><w:t>Bárbula, Febrero 2015</w:t></w:r></w:p><w:p><w:pPr><w:pStyle w:val="style0"/><w:spacing w:after="0" w:before="0" w:line="100" w:lineRule="atLeast"/><w:jc w:val="center"/></w:pPr><w:r><w:rPr><w:rFonts w:ascii="Times New Roman" w:hAnsi="Times New Roman"/><w:sz w:val="24"/><w:szCs w:val="24"/></w:rPr><w:t>UNIVERSIDAD DE CARABOBO</w:t><w:drawing><wp:anchor allowOverlap="1" behindDoc="0" distB="0" distL="0" distR="0" distT="0" layoutInCell="1" locked="0" relativeHeight="0" simplePos="0"><wp:simplePos x="0" y="0"/><wp:positionH relativeFrom="character"><wp:posOffset>4953000</wp:posOffset></wp:positionH><wp:positionV relativeFrom="line"><wp:posOffset>-3175</wp:posOffset></wp:positionV><wp:extent cx="912495" cy="709930"/><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5"/><a:srcRect/><a:stretch><a:fillRect/></a:stretch></pic:blipFill><pic:spPr bwMode="auto"><a:xfrm><a:off x="0" y="0"/><a:ext cx="912495" cy="709930"/></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-610235</wp:posOffset></wp:positionH><wp:positionV relativeFrom="line"><wp:posOffset>-72390</wp:posOffset></wp:positionV><wp:extent cx="623570" cy="794385"/><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6"/><a:srcRect/><a:stretch><a:fillRect/></a:stretch></pic:blipFill><pic:spPr bwMode="auto"><a:xfrm><a:off x="0" y="0"/><a:ext cx="623570" cy="794385"/></a:xfrm><a:prstGeom prst="rect"><a:avLst/></a:prstGeom><a:noFill/><a:ln w="9525"><a:noFill/><a:miter lim="800000"/><a:headEnd/><a:tailEnd/></a:ln></pic:spPr></pic:pic></a:graphicData></a:graphic></wp:anchor></w:drawing></w:r></w:p><w:p><w:pPr><w:pStyle w:val="style0"/><w:spacing w:after="0" w:before="0" w:line="100" w:lineRule="atLeast"/><w:jc w:val="center"/></w:pPr><w:r><w:rPr><w:rFonts w:ascii="Times New Roman" w:hAnsi="Times New Roman"/><w:sz w:val="24"/><w:szCs w:val="24"/></w:rPr><w:t>FACULTAD DE CIENCIAS ECONÓMICAS Y SOCIALES</w:t></w:r></w:p><w:p><w:pPr><w:pStyle w:val="style0"/><w:spacing w:after="0" w:before="0" w:line="100" w:lineRule="atLeast"/><w:jc w:val="center"/></w:pPr><w:r><w:rPr><w:rFonts w:ascii="Times New Roman" w:hAnsi="Times New Roman"/><w:sz w:val="24"/><w:szCs w:val="24"/></w:rPr><w:t>ÁREA DE ESTUDIOS DE POSTGRADO</w:t></w:r></w:p><w:p><w:pPr><w:pStyle w:val="style0"/><w:spacing w:after="0" w:before="0" w:line="100" w:lineRule="atLeast"/><w:jc w:val="center"/></w:pPr><w:r><w:rPr><w:rFonts w:ascii="Times New Roman" w:hAnsi="Times New Roman"/><w:sz w:val="24"/><w:szCs w:val="24"/></w:rPr><w:t xml:space="preserve">MAESTRÍA EN ADMINISTRACIÓN DE EMPRESAS MENCIÓN </w:t></w:r></w:p><w:p><w:pPr><w:pStyle w:val="style0"/><w:spacing w:after="0" w:before="0" w:line="100" w:lineRule="atLeast"/><w:jc w:val="center"/></w:pPr><w:r><w:rPr><w:rFonts w:ascii="Times New Roman" w:hAnsi="Times New Roman"/><w:sz w:val="24"/><w:szCs w:val="24"/></w:rPr><w:t>FINANZAS</w:t></w:r></w:p><w:p><w:pPr><w:pStyle w:val="style0"/><w:spacing w:after="0" w:before="0" w:line="100" w:lineRule="atLeast"/><w:jc w:val="center"/></w:pPr><w:r><w:rPr><w:rFonts w:ascii="Times New Roman" w:hAnsi="Times New Roman"/><w:sz w:val="24"/><w:szCs w:val="24"/></w:rPr><w:t>CAMPUS BÁRBULA</w:t></w:r></w:p><w:p><w:pPr><w:pStyle w:val="style0"/><w:spacing w:line="360" w:lineRule="auto"/><w:jc w:val="center"/></w:pPr><w:r><w:rPr><w:rFonts w:ascii="Times New Roman" w:hAnsi="Times New Roman"/><w:sz w:val="24"/><w:szCs w:val="24"/></w:rPr></w:r></w:p><w:p><w:pPr><w:pStyle w:val="style0"/><w:spacing w:line="360" w:lineRule="auto"/><w:jc w:val="center"/></w:pPr><w:r><w:rPr><w:rFonts w:ascii="Times New Roman" w:hAnsi="Times New Roman"/><w:sz w:val="24"/><w:szCs w:val="24"/></w:rPr></w:r></w:p><w:p><w:pPr><w:pStyle w:val="style0"/><w:spacing w:line="100" w:lineRule="atLeast"/><w:jc w:val="both"/></w:pPr><w:r><w:rPr><w:rFonts w:ascii="Times New Roman" w:hAnsi="Times New Roman"/><w:sz w:val="24"/><w:szCs w:val="24"/></w:rPr><w:t>Línea de Investigación: Gestión Financiera y Sistema Empresarial Venezolano</w:t></w:r></w:p><w:p><w:pPr><w:pStyle w:val="style0"/><w:spacing w:after="384" w:before="160" w:line="100" w:lineRule="atLeast"/><w:jc w:val="center"/></w:pPr><w:r><w:rPr><w:rFonts w:ascii="Times New Roman" w:hAnsi="Times New Roman"/><w:b/><w:sz w:val="24"/><w:szCs w:val="24"/><w:lang w:val="es-ES"/></w:rPr></w:r></w:p><w:p><w:pPr><w:pStyle w:val="style0"/><w:spacing w:after="384" w:before="160" w:line="100" w:lineRule="atLeast"/><w:jc w:val="center"/></w:pPr><w:r><w:rPr><w:rFonts w:ascii="Times New Roman" w:hAnsi="Times New Roman"/><w:b/><w:sz w:val="36"/><w:szCs w:val="36"/><w:lang w:val="es-ES"/></w:rPr></w:r></w:p><w:p><w:pPr><w:pStyle w:val="style0"/><w:spacing w:after="0" w:before="0" w:line="100" w:lineRule="atLeast"/><w:jc w:val="center"/></w:pPr><w:r><w:rPr><w:rFonts w:ascii="Times New Roman" w:hAnsi="Times New Roman"/><w:sz w:val="24"/><w:szCs w:val="24"/><w:lang w:val="es-ES"/></w:rPr><w:t xml:space="preserve">PROPUESTA DE UN MODELO DE PLANIFICACIÓN FINANCIERA BASADO EN EL </w:t></w:r><w:r><w:rPr><w:rFonts w:ascii="Times New Roman" w:hAnsi="Times New Roman"/><w:i/><w:sz w:val="24"/><w:szCs w:val="24"/><w:lang w:val="es-ES"/></w:rPr><w:t>BALANCED SCORECARD</w:t></w:r><w:r><w:rPr><w:rFonts w:ascii="Times New Roman" w:hAnsi="Times New Roman"/><w:sz w:val="24"/><w:szCs w:val="24"/><w:lang w:val="es-ES"/></w:rPr><w:t xml:space="preserve"> PARA LA MAXIMIZACIÓN DE BENEFICIOS DEL FRIGORÍFICO INDUSTRIAL CARABOBO</w:t></w:r></w:p><w:p><w:pPr><w:pStyle w:val="style0"/><w:spacing w:after="0" w:before="0" w:line="100" w:lineRule="atLeast"/><w:jc w:val="center"/></w:pPr><w:r><w:rPr><w:rFonts w:ascii="Times New Roman" w:hAnsi="Times New Roman"/><w:sz w:val="24"/><w:szCs w:val="24"/><w:lang w:val="es-ES"/></w:rPr><w:t>UBICADO EN EL MUNICIPIO VALENCIA, ESTADO CARABOBO</w:t></w:r></w:p><w:p><w:pPr><w:pStyle w:val="style0"/><w:spacing w:after="384" w:before="160" w:line="100" w:lineRule="atLeast"/></w:pPr><w:r><w:rPr><w:rFonts w:ascii="Times New Roman" w:hAnsi="Times New Roman"/><w:sz w:val="24"/><w:szCs w:val="24"/><w:lang w:val="es-ES"/></w:rPr></w:r></w:p><w:p><w:pPr><w:pStyle w:val="style0"/><w:spacing w:after="384" w:before="160" w:line="100" w:lineRule="atLeast"/></w:pPr><w:r><w:rPr><w:rFonts w:ascii="Times New Roman" w:hAnsi="Times New Roman"/><w:sz w:val="24"/><w:szCs w:val="24"/><w:lang w:val="es-ES"/></w:rPr></w:r></w:p><w:p><w:pPr><w:pStyle w:val="style0"/><w:spacing w:after="0" w:before="0" w:line="100" w:lineRule="atLeast"/><w:jc w:val="right"/></w:pPr><w:r><w:rPr><w:rFonts w:ascii="Times New Roman" w:hAnsi="Times New Roman"/><w:sz w:val="24"/><w:szCs w:val="24"/><w:lang w:val="es-ES"/></w:rPr></w:r></w:p><w:p><w:pPr><w:pStyle w:val="style0"/><w:tabs><w:tab w:leader="none" w:pos="4252" w:val="center"/><w:tab w:leader="none" w:pos="6946" w:val="left"/><w:tab w:leader="none" w:pos="7797" w:val="left"/><w:tab w:leader="none" w:pos="8504" w:val="right"/></w:tabs><w:spacing w:after="0" w:before="0" w:line="100" w:lineRule="atLeast"/><w:ind w:hanging="0" w:left="0" w:right="49"/></w:pPr><w:r><w:rPr><w:rFonts w:ascii="Times New Roman" w:hAnsi="Times New Roman"/><w:sz w:val="24"/><w:szCs w:val="24"/><w:lang w:val="es-ES"/></w:rPr><w:t xml:space="preserve">                                                                                                                            </w:t></w:r><w:r><w:rPr><w:rFonts w:ascii="Times New Roman" w:hAnsi="Times New Roman"/><w:sz w:val="24"/><w:szCs w:val="24"/><w:lang w:val="es-ES"/></w:rPr><w:t>Autora:</w:t></w:r></w:p><w:p><w:pPr><w:pStyle w:val="style0"/><w:spacing w:after="0" w:before="0" w:line="100" w:lineRule="atLeast"/><w:jc w:val="right"/></w:pPr><w:r><w:rPr><w:rFonts w:ascii="Times New Roman" w:hAnsi="Times New Roman"/><w:sz w:val="24"/><w:szCs w:val="24"/><w:lang w:val="es-ES"/></w:rPr><w:t>Bello, Victoria</w:t></w:r></w:p><w:p><w:pPr><w:pStyle w:val="style0"/><w:spacing w:after="0" w:before="0" w:line="100" w:lineRule="atLeast"/><w:jc w:val="right"/></w:pPr><w:r><w:rPr><w:rFonts w:ascii="Times New Roman" w:hAnsi="Times New Roman"/><w:sz w:val="24"/><w:szCs w:val="24"/><w:lang w:val="es-ES"/></w:rPr></w:r></w:p><w:p><w:pPr><w:pStyle w:val="style0"/><w:spacing w:after="0" w:before="0" w:line="100" w:lineRule="atLeast"/><w:jc w:val="right"/></w:pPr><w:r><w:rPr><w:rFonts w:ascii="Times New Roman" w:hAnsi="Times New Roman"/><w:sz w:val="24"/><w:szCs w:val="24"/></w:rPr><w:t>Tutor:</w:t></w:r></w:p><w:p><w:pPr><w:pStyle w:val="style0"/><w:spacing w:after="0" w:before="0" w:line="100" w:lineRule="atLeast"/><w:jc w:val="right"/></w:pPr><w:r><w:rPr><w:rFonts w:ascii="Times New Roman" w:hAnsi="Times New Roman"/><w:sz w:val="24"/><w:szCs w:val="24"/></w:rPr><w:t>Parga Robert</w:t></w:r></w:p><w:p><w:pPr><w:pStyle w:val="style0"/><w:spacing w:after="0" w:before="0" w:line="100" w:lineRule="atLeast"/><w:jc w:val="right"/></w:pPr><w:r><w:rPr><w:rFonts w:ascii="Times New Roman" w:hAnsi="Times New Roman"/><w:sz w:val="24"/><w:szCs w:val="24"/></w:rPr></w:r></w:p><w:p><w:pPr><w:pStyle w:val="style0"/><w:spacing w:after="0" w:before="0" w:line="100" w:lineRule="atLeast"/><w:jc w:val="right"/></w:pPr><w:r><w:rPr><w:rFonts w:ascii="Times New Roman" w:hAnsi="Times New Roman"/><w:sz w:val="24"/><w:szCs w:val="24"/><w:lang w:val="es-ES"/></w:rPr></w:r></w:p><w:p><w:pPr><w:pStyle w:val="style0"/><w:spacing w:line="100" w:lineRule="atLeast"/><w:jc w:val="center"/></w:pPr><w:r><w:rPr><w:rFonts w:ascii="Times New Roman" w:hAnsi="Times New Roman"/><w:sz w:val="24"/><w:szCs w:val="24"/></w:rPr><w:t>Trabajo de Grado Presentado para Optar al Título de Magíster en Administración de Empresas Mención Finanzas</w:t></w:r></w:p><w:p><w:pPr><w:pStyle w:val="style0"/><w:spacing w:after="384" w:before="160" w:line="360" w:lineRule="auto"/><w:jc w:val="both"/></w:pPr><w:r><w:rPr><w:rFonts w:ascii="Times New Roman" w:hAnsi="Times New Roman"/><w:b/><w:sz w:val="24"/><w:szCs w:val="24"/></w:rPr></w:r></w:p><w:p><w:pPr><w:pStyle w:val="style0"/><w:spacing w:after="384" w:before="160" w:line="360" w:lineRule="auto"/><w:jc w:val="center"/></w:pPr><w:r><w:rPr><w:rFonts w:ascii="Times New Roman" w:hAnsi="Times New Roman"/><w:sz w:val="24"/><w:szCs w:val="24"/><w:lang w:val="es-ES"/></w:rPr><w:t>Bárbula, Febrero 2015</w:t></w:r></w:p><w:p><w:pPr><w:pStyle w:val="style0"/><w:spacing w:after="0" w:before="0" w:line="100" w:lineRule="atLeast"/><w:jc w:val="center"/></w:pPr><w:r><w:rPr><w:rFonts w:ascii="Times New Roman" w:hAnsi="Times New Roman"/><w:sz w:val="24"/><w:szCs w:val="24"/></w:rPr><w:t>UNIVERSIDAD DE CARABOBO</w:t><w:drawing><wp:anchor allowOverlap="1" behindDoc="0" distB="0" distL="0" distR="0" distT="0" layoutInCell="1" locked="0" relativeHeight="0" simplePos="0"><wp:simplePos x="0" y="0"/><wp:positionH relativeFrom="character"><wp:posOffset>-229235</wp:posOffset></wp:positionH><wp:positionV relativeFrom="line"><wp:posOffset>-5715</wp:posOffset></wp:positionV><wp:extent cx="623570" cy="794385"/><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7"/><a:srcRect/><a:stretch><a:fillRect/></a:stretch></pic:blipFill><pic:spPr bwMode="auto"><a:xfrm><a:off x="0" y="0"/><a:ext cx="623570" cy="794385"/></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4781550</wp:posOffset></wp:positionH><wp:positionV relativeFrom="line"><wp:posOffset>-98425</wp:posOffset></wp:positionV><wp:extent cx="912495" cy="709930"/><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8"/><a:srcRect/><a:stretch><a:fillRect/></a:stretch></pic:blipFill><pic:spPr bwMode="auto"><a:xfrm><a:off x="0" y="0"/><a:ext cx="912495" cy="709930"/></a:xfrm><a:prstGeom prst="rect"><a:avLst/></a:prstGeom><a:noFill/><a:ln w="9525"><a:noFill/><a:miter lim="800000"/><a:headEnd/><a:tailEnd/></a:ln></pic:spPr></pic:pic></a:graphicData></a:graphic></wp:anchor></w:drawing></w:r></w:p><w:p><w:pPr><w:pStyle w:val="style0"/><w:spacing w:after="0" w:before="0" w:line="100" w:lineRule="atLeast"/><w:jc w:val="center"/></w:pPr><w:r><w:rPr><w:rFonts w:ascii="Times New Roman" w:hAnsi="Times New Roman"/><w:sz w:val="24"/><w:szCs w:val="24"/></w:rPr><w:t>FACULTAD DE CIENCIAS ECONÓMICAS Y SOCIALES</w:t></w:r></w:p><w:p><w:pPr><w:pStyle w:val="style0"/><w:spacing w:after="0" w:before="0" w:line="100" w:lineRule="atLeast"/><w:jc w:val="center"/></w:pPr><w:r><w:rPr><w:rFonts w:ascii="Times New Roman" w:hAnsi="Times New Roman"/><w:sz w:val="24"/><w:szCs w:val="24"/></w:rPr><w:t xml:space="preserve">MAESTRÍA EN ADMINISTRACIÓN DE EMPRESAS MENCIÓN </w:t></w:r></w:p><w:p><w:pPr><w:pStyle w:val="style0"/><w:spacing w:after="0" w:before="0" w:line="100" w:lineRule="atLeast"/><w:jc w:val="center"/></w:pPr><w:r><w:rPr><w:rFonts w:ascii="Times New Roman" w:hAnsi="Times New Roman"/><w:sz w:val="24"/><w:szCs w:val="24"/></w:rPr><w:t>FINANZAS</w:t></w:r></w:p><w:p><w:pPr><w:pStyle w:val="style0"/><w:spacing w:after="0" w:before="0" w:line="100" w:lineRule="atLeast"/><w:jc w:val="center"/></w:pPr><w:r><w:rPr><w:rFonts w:ascii="Times New Roman" w:hAnsi="Times New Roman"/><w:sz w:val="24"/><w:szCs w:val="24"/></w:rPr><w:t>CAMPUS BÁRBULA</w:t></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b/><w:sz w:val="24"/><w:szCs w:val="24"/></w:rPr><w:t>CONSTANCIA DE ACEPTACIÓN DEL TUTOR</w:t></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lang w:val="es-ES"/></w:rPr><w:t xml:space="preserve">PROPUESTA DE UN MODELO DE PLANIFICACIÓN FINANCIERA BASADO EN EL </w:t></w:r><w:r><w:rPr><w:rFonts w:ascii="Times New Roman" w:hAnsi="Times New Roman"/><w:i/><w:sz w:val="24"/><w:szCs w:val="24"/><w:lang w:val="es-ES"/></w:rPr><w:t>BALANCED SCORECARD</w:t></w:r><w:r><w:rPr><w:rFonts w:ascii="Times New Roman" w:hAnsi="Times New Roman"/><w:sz w:val="24"/><w:szCs w:val="24"/><w:lang w:val="es-ES"/></w:rPr><w:t xml:space="preserve"> PARA LA MAXIMIZACIÓN DE BENEFICIOS DEL FRIGORÍFICO INDUSTRIAL CARABOBO</w:t></w:r></w:p><w:p><w:pPr><w:pStyle w:val="style0"/><w:spacing w:after="0" w:before="0" w:line="100" w:lineRule="atLeast"/><w:jc w:val="center"/></w:pPr><w:r><w:rPr><w:rFonts w:ascii="Times New Roman" w:hAnsi="Times New Roman"/><w:sz w:val="24"/><w:szCs w:val="24"/><w:lang w:val="es-ES"/></w:rPr><w:t>UBICADO EN EL MUNICIPIO VALENCIA, ESTADO CARABOBO</w:t></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right"/></w:pPr><w:r><w:rPr><w:rFonts w:ascii="Times New Roman" w:hAnsi="Times New Roman"/><w:sz w:val="24"/><w:szCs w:val="24"/></w:rPr><w:t>TUTOR:</w:t></w:r></w:p><w:p><w:pPr><w:pStyle w:val="style0"/><w:spacing w:after="0" w:before="0" w:line="100" w:lineRule="atLeast"/><w:jc w:val="right"/></w:pPr><w:r><w:rPr><w:rFonts w:ascii="Times New Roman" w:hAnsi="Times New Roman"/><w:sz w:val="24"/><w:szCs w:val="24"/></w:rPr><w:t>ROBERT PARGA</w:t></w:r></w:p><w:p><w:pPr><w:pStyle w:val="style0"/><w:spacing w:after="0" w:before="0" w:line="100" w:lineRule="atLeast"/><w:jc w:val="right"/></w:pPr><w:r><w:rPr><w:rFonts w:ascii="Times New Roman" w:hAnsi="Times New Roman"/><w:sz w:val="24"/><w:szCs w:val="24"/></w:rPr></w:r></w:p><w:p><w:pPr><w:pStyle w:val="style0"/><w:spacing w:after="0" w:before="0" w:line="100" w:lineRule="atLeast"/><w:jc w:val="right"/></w:pPr><w:r><w:rPr><w:rFonts w:ascii="Times New Roman" w:hAnsi="Times New Roman"/><w:sz w:val="24"/><w:szCs w:val="24"/></w:rPr></w:r></w:p><w:p><w:pPr><w:pStyle w:val="style0"/><w:spacing w:after="0" w:before="0" w:line="100" w:lineRule="atLeast"/><w:jc w:val="right"/></w:pPr><w:r><w:rPr><w:rFonts w:ascii="Times New Roman" w:hAnsi="Times New Roman"/><w:sz w:val="24"/><w:szCs w:val="24"/></w:rPr></w:r></w:p><w:p><w:pPr><w:pStyle w:val="style0"/><w:spacing w:after="0" w:before="0" w:line="100" w:lineRule="atLeast"/><w:jc w:val="right"/></w:pPr><w:r><w:rPr><w:rFonts w:ascii="Times New Roman" w:hAnsi="Times New Roman"/><w:sz w:val="24"/><w:szCs w:val="24"/></w:rPr></w:r></w:p><w:p><w:pPr><w:pStyle w:val="style0"/><w:spacing w:after="0" w:before="0" w:line="100" w:lineRule="atLeast"/><w:jc w:val="center"/></w:pPr><w:r><w:rPr><w:rFonts w:ascii="Times New Roman" w:hAnsi="Times New Roman"/><w:sz w:val="24"/><w:szCs w:val="24"/></w:rPr><w:t>Aceptado en la Universidad de Carabobo</w:t></w:r></w:p><w:p><w:pPr><w:pStyle w:val="style0"/><w:spacing w:after="0" w:before="0" w:line="100" w:lineRule="atLeast"/><w:jc w:val="center"/></w:pPr><w:r><w:rPr><w:rFonts w:ascii="Times New Roman" w:hAnsi="Times New Roman"/><w:sz w:val="24"/><w:szCs w:val="24"/></w:rPr><w:t>Facultad de Ciencias Económicas y Sociales</w:t></w:r></w:p><w:p><w:pPr><w:pStyle w:val="style0"/><w:spacing w:after="0" w:before="0" w:line="100" w:lineRule="atLeast"/><w:jc w:val="center"/></w:pPr><w:r><w:rPr><w:rFonts w:ascii="Times New Roman" w:hAnsi="Times New Roman"/><w:sz w:val="24"/><w:szCs w:val="24"/></w:rPr><w:t>Área de Estudios de Postgrado</w:t></w:r></w:p><w:p><w:pPr><w:pStyle w:val="style0"/><w:spacing w:after="0" w:before="0" w:line="100" w:lineRule="atLeast"/><w:jc w:val="center"/></w:pPr><w:r><w:rPr><w:rFonts w:ascii="Times New Roman" w:hAnsi="Times New Roman"/><w:sz w:val="24"/><w:szCs w:val="24"/></w:rPr><w:t>Maestría en Administración de Empresas Mención Finanzas</w:t></w:r></w:p><w:p><w:pPr><w:pStyle w:val="style0"/><w:spacing w:after="0" w:before="0" w:line="100" w:lineRule="atLeast"/><w:jc w:val="center"/></w:pPr><w:r><w:rPr><w:rFonts w:ascii="Times New Roman" w:hAnsi="Times New Roman"/><w:sz w:val="24"/><w:szCs w:val="24"/></w:rPr><w:t>Por: Robert Parga</w:t></w:r></w:p><w:p><w:pPr><w:pStyle w:val="style0"/><w:spacing w:after="0" w:before="0" w:line="100" w:lineRule="atLeast"/><w:jc w:val="center"/></w:pPr><w:r><w:rPr><w:rFonts w:ascii="Times New Roman" w:hAnsi="Times New Roman"/><w:sz w:val="24"/><w:szCs w:val="24"/></w:rPr><w:t>C.I. 14.070.795</w:t></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r></w:p><w:p><w:pPr><w:pStyle w:val="style0"/><w:spacing w:after="384" w:before="160" w:line="360" w:lineRule="auto"/><w:jc w:val="center"/></w:pPr><w:r><w:rPr><w:rFonts w:ascii="Times New Roman" w:hAnsi="Times New Roman"/><w:sz w:val="24"/><w:szCs w:val="24"/></w:rPr><w:t>Bárbula, Enero de 2015</w:t></w:r></w:p><w:p><w:pPr><w:pStyle w:val="style0"/><w:spacing w:after="0" w:before="0" w:line="100" w:lineRule="atLeast"/><w:jc w:val="center"/></w:pPr><w:r><w:rPr><w:rFonts w:ascii="Times New Roman" w:hAnsi="Times New Roman"/><w:sz w:val="24"/><w:szCs w:val="24"/></w:rPr><w:t>UNIVERSIDAD DE CARABOBO</w:t><w:drawing><wp:anchor allowOverlap="1" behindDoc="1" distB="0" distL="0" distR="0" distT="0" layoutInCell="1" locked="0" relativeHeight="0" simplePos="0"><wp:simplePos x="0" y="0"/><wp:positionH relativeFrom="character"><wp:posOffset>-586740</wp:posOffset></wp:positionH><wp:positionV relativeFrom="line"><wp:posOffset>0</wp:posOffset></wp:positionV><wp:extent cx="954405" cy="1155700"/><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9"/><a:srcRect/><a:stretch><a:fillRect/></a:stretch></pic:blipFill><pic:spPr bwMode="auto"><a:xfrm><a:off x="0" y="0"/><a:ext cx="954405" cy="1155700"/></a:xfrm><a:prstGeom prst="rect"><a:avLst/></a:prstGeom><a:noFill/><a:ln w="9525"><a:noFill/><a:miter lim="800000"/><a:headEnd/><a:tailEnd/></a:ln></pic:spPr></pic:pic></a:graphicData></a:graphic></wp:anchor></w:drawing><w:drawing><wp:anchor allowOverlap="1" behindDoc="1" distB="0" distL="0" distR="0" distT="0" layoutInCell="1" locked="0" relativeHeight="0" simplePos="0"><wp:simplePos x="0" y="0"/><wp:positionH relativeFrom="character"><wp:posOffset>4864735</wp:posOffset></wp:positionH><wp:positionV relativeFrom="line"><wp:posOffset>0</wp:posOffset></wp:positionV><wp:extent cx="1242060" cy="122491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0"/><a:srcRect/><a:stretch><a:fillRect/></a:stretch></pic:blipFill><pic:spPr bwMode="auto"><a:xfrm><a:off x="0" y="0"/><a:ext cx="1242060" cy="1224915"/></a:xfrm><a:prstGeom prst="rect"><a:avLst/></a:prstGeom><a:noFill/><a:ln w="9525"><a:noFill/><a:miter lim="800000"/><a:headEnd/><a:tailEnd/></a:ln></pic:spPr></pic:pic></a:graphicData></a:graphic></wp:anchor></w:drawing></w:r></w:p><w:p><w:pPr><w:pStyle w:val="style0"/><w:spacing w:after="0" w:before="0" w:line="100" w:lineRule="atLeast"/><w:jc w:val="center"/></w:pPr><w:r><w:rPr><w:rFonts w:ascii="Times New Roman" w:hAnsi="Times New Roman"/><w:sz w:val="24"/><w:szCs w:val="24"/></w:rPr><w:t>FACULTAD DE CIENCIAS ECONÓMICAS Y SOCIALES</w:t></w:r></w:p><w:p><w:pPr><w:pStyle w:val="style0"/><w:spacing w:after="0" w:before="0" w:line="100" w:lineRule="atLeast"/><w:jc w:val="center"/></w:pPr><w:r><w:rPr><w:rFonts w:ascii="Times New Roman" w:hAnsi="Times New Roman"/><w:sz w:val="24"/><w:szCs w:val="24"/></w:rPr><w:t>ÁREA DE ESTUDIOS DE POSTGRADO</w:t></w:r></w:p><w:p><w:pPr><w:pStyle w:val="style0"/><w:spacing w:after="0" w:before="0" w:line="100" w:lineRule="atLeast"/><w:jc w:val="center"/></w:pPr><w:r><w:rPr><w:rFonts w:ascii="Times New Roman" w:hAnsi="Times New Roman"/><w:sz w:val="24"/><w:szCs w:val="24"/></w:rPr><w:t>MAESTRÍA EN ADMINISTRACIÓN DE EMPRESAS MENCIÓN FINANZAS</w:t></w:r></w:p><w:p><w:pPr><w:pStyle w:val="style0"/><w:spacing w:after="0" w:before="0" w:line="100" w:lineRule="atLeast"/></w:pPr><w:r><w:rPr><w:rFonts w:ascii="Times New Roman" w:hAnsi="Times New Roman"/><w:sz w:val="24"/><w:szCs w:val="24"/></w:rPr><w:t xml:space="preserve">                                      </w:t></w:r><w:r><w:rPr><w:rFonts w:ascii="Times New Roman" w:hAnsi="Times New Roman"/><w:sz w:val="24"/><w:szCs w:val="24"/></w:rPr><w:t>CAMPUS BÁRBULA</w:t></w:r></w:p><w:p><w:pPr><w:pStyle w:val="style0"/><w:spacing w:line="100" w:lineRule="atLeast"/><w:jc w:val="both"/></w:pPr><w:r><w:rPr><w:rFonts w:ascii="Times New Roman" w:hAnsi="Times New Roman"/><w:sz w:val="24"/><w:szCs w:val="24"/></w:rPr></w:r></w:p><w:p><w:pPr><w:pStyle w:val="style0"/><w:spacing w:line="100" w:lineRule="atLeast"/><w:jc w:val="both"/></w:pPr><w:r><w:rPr><w:rFonts w:ascii="Times New Roman" w:hAnsi="Times New Roman"/><w:sz w:val="24"/><w:szCs w:val="24"/></w:rPr></w:r></w:p><w:p><w:pPr><w:pStyle w:val="style0"/><w:spacing w:line="100" w:lineRule="atLeast"/><w:jc w:val="both"/></w:pPr><w:r><w:rPr><w:rFonts w:ascii="Times New Roman" w:hAnsi="Times New Roman"/><w:sz w:val="24"/><w:szCs w:val="24"/></w:rPr></w:r></w:p><w:p><w:pPr><w:pStyle w:val="style0"/><w:spacing w:line="100" w:lineRule="atLeast"/><w:jc w:val="center"/></w:pPr><w:r><w:rPr><w:rFonts w:ascii="Times New Roman" w:hAnsi="Times New Roman"/><w:b/><w:sz w:val="24"/><w:szCs w:val="24"/></w:rPr><w:t>AVAL DEL TUTOR</w:t></w:r></w:p><w:p><w:pPr><w:pStyle w:val="style0"/><w:spacing w:line="360" w:lineRule="auto"/><w:jc w:val="both"/></w:pPr><w:r><w:rPr><w:rFonts w:ascii="Times New Roman" w:hAnsi="Times New Roman"/><w:sz w:val="24"/><w:szCs w:val="24"/></w:rPr></w:r></w:p><w:p><w:pPr><w:pStyle w:val="style0"/><w:spacing w:line="100" w:lineRule="atLeast"/><w:jc w:val="both"/></w:pPr><w:r><w:rPr><w:rFonts w:ascii="Times New Roman" w:hAnsi="Times New Roman"/><w:color w:val="0D0D0D"/><w:sz w:val="24"/><w:szCs w:val="24"/></w:rPr><w:t xml:space="preserve">     </w:t></w:r><w:r><w:rPr><w:rFonts w:ascii="Times New Roman" w:hAnsi="Times New Roman"/><w:color w:val="0D0D0D"/><w:sz w:val="24"/><w:szCs w:val="24"/></w:rPr><w:t>Dando cumplimiento a lo establecido en el Reglamento de Estudios de Postgrado de la Universidad de Carabobo en su artículo 133,  quien suscribe Robert Parga titular de la cédula de identidad Nº 14.070.795, en mi carácter de Tutor del Trabajo de Grado del Programa de Maestría en Administración de Empresas mención Finanzas de la Universidad de Carabobo, titulado</w:t></w:r><w:r><w:rPr><w:rFonts w:ascii="Times New Roman" w:hAnsi="Times New Roman"/><w:sz w:val="24"/><w:szCs w:val="24"/></w:rPr><w:t xml:space="preserve">: </w:t></w:r><w:r><w:rPr><w:rFonts w:ascii="Times New Roman" w:hAnsi="Times New Roman"/><w:b/><w:sz w:val="24"/><w:szCs w:val="24"/></w:rPr><w:t xml:space="preserve">PROPUESTA DE UN MODELO DE PLANIFICACIÓN FINANCIERA BASADO EN EL BALANCED SCORECARD PARA LA MAXIMIZACIÓN DE BENEFICIOS DEL FRIGORÍFICO INDUSTRIAL CARABOBO UBICADO EN EL MUNICIPIO VALENCIA, ESTADO CARABOBO, </w:t></w:r><w:r><w:rPr><w:rFonts w:ascii="Times New Roman" w:hAnsi="Times New Roman"/><w:sz w:val="24"/><w:szCs w:val="24"/></w:rPr><w:t>p</w:t></w:r><w:r><w:rPr><w:rFonts w:ascii="Times New Roman" w:hAnsi="Times New Roman"/><w:color w:val="0D0D0D"/><w:sz w:val="24"/><w:szCs w:val="24"/></w:rPr><w:t>resentado por el ciudadano Bello Suárez Victoria Carolina, titular de la cédula de identidad Nº V-18.189.478, para optar al título de Magíster en Administración de Empresas Mención Finanzas, hago constar que dicho trabajo reúne los requisitos y méritos suficientes para ser sometido a la presentación pública y evaluación por parte del jurado examinador que se le designe.</w:t></w:r></w:p><w:p><w:pPr><w:pStyle w:val="style36"/><w:tabs><w:tab w:leader="none" w:pos="2694" w:val="left"/></w:tabs></w:pPr><w:r><w:rPr><w:color w:val="0D0D0D"/><w:sz w:val="24"/><w:szCs w:val="24"/></w:rPr></w:r></w:p><w:p><w:pPr><w:pStyle w:val="style36"/><w:tabs><w:tab w:leader="none" w:pos="2694" w:val="left"/></w:tabs></w:pPr><w:r><w:rPr><w:color w:val="0D0D0D"/><w:sz w:val="24"/><w:szCs w:val="24"/></w:rPr></w:r></w:p><w:p><w:pPr><w:pStyle w:val="style36"/><w:tabs><w:tab w:leader="none" w:pos="2694" w:val="left"/></w:tabs><w:jc w:val="center"/></w:pPr><w:r><w:rPr><w:rFonts w:ascii="Times New Roman" w:eastAsia="Calibri" w:hAnsi="Times New Roman"/><w:b/><w:color w:val="0D0D0D"/><w:sz w:val="24"/><w:szCs w:val="24"/><w:lang w:eastAsia="en-US"/></w:rPr><w:t>En Valencia a los 27 días del mes de Febrero del año 2015</w:t></w:r></w:p><w:p><w:pPr><w:pStyle w:val="style36"/><w:tabs><w:tab w:leader="none" w:pos="2694" w:val="left"/></w:tabs><w:jc w:val="center"/></w:pPr><w:r><w:rPr><w:rFonts w:ascii="Times New Roman" w:eastAsia="Calibri" w:hAnsi="Times New Roman"/><w:color w:val="0D0D0D"/><w:sz w:val="24"/><w:szCs w:val="24"/><w:lang w:eastAsia="en-US"/></w:rPr></w:r></w:p><w:p><w:pPr><w:pStyle w:val="style36"/><w:tabs><w:tab w:leader="none" w:pos="2694" w:val="left"/></w:tabs><w:jc w:val="center"/></w:pPr><w:r><w:rPr><w:rFonts w:ascii="Times New Roman" w:eastAsia="Calibri" w:hAnsi="Times New Roman"/><w:color w:val="0D0D0D"/><w:sz w:val="24"/><w:szCs w:val="24"/><w:lang w:eastAsia="en-US"/></w:rPr></w:r></w:p><w:p><w:pPr><w:pStyle w:val="style36"/><w:tabs><w:tab w:leader="none" w:pos="2694" w:val="left"/></w:tabs><w:jc w:val="center"/></w:pPr><w:r><w:rPr><w:rFonts w:ascii="Times New Roman" w:eastAsia="Calibri" w:hAnsi="Times New Roman"/><w:color w:val="0D0D0D"/><w:sz w:val="24"/><w:szCs w:val="24"/><w:lang w:eastAsia="en-US"/></w:rPr></w:r></w:p><w:p><w:pPr><w:pStyle w:val="style36"/><w:tabs><w:tab w:leader="none" w:pos="2694" w:val="left"/></w:tabs><w:jc w:val="center"/></w:pPr><w:r><w:rPr><w:rFonts w:ascii="Times New Roman" w:eastAsia="Calibri" w:hAnsi="Times New Roman"/><w:color w:val="0D0D0D"/><w:sz w:val="24"/><w:szCs w:val="24"/><w:lang w:eastAsia="en-US"/></w:rPr><w:t>_________________________</w:t></w:r></w:p><w:p><w:pPr><w:pStyle w:val="style36"/><w:tabs><w:tab w:leader="none" w:pos="2694" w:val="left"/></w:tabs><w:jc w:val="center"/></w:pPr><w:r><w:rPr><w:rFonts w:ascii="Times New Roman" w:eastAsia="Calibri" w:hAnsi="Times New Roman"/><w:color w:val="0D0D0D"/><w:sz w:val="24"/><w:szCs w:val="24"/><w:lang w:eastAsia="en-US"/></w:rPr><w:t>Robert Parga</w:t></w:r></w:p><w:p><w:pPr><w:pStyle w:val="style36"/><w:tabs><w:tab w:leader="none" w:pos="2694" w:val="left"/></w:tabs><w:jc w:val="center"/></w:pPr><w:r><w:rPr><w:rFonts w:ascii="Times New Roman" w:eastAsia="Calibri" w:hAnsi="Times New Roman"/><w:color w:val="0D0D0D"/><w:sz w:val="24"/><w:szCs w:val="24"/><w:lang w:eastAsia="en-US"/></w:rPr><w:t>C.I: 14.070.795</w:t></w:r></w:p><w:p><w:pPr><w:pStyle w:val="style36"/><w:tabs><w:tab w:leader="none" w:pos="2694" w:val="left"/></w:tabs></w:pPr><w:r><w:rPr><w:color w:val="0D0D0D"/><w:sz w:val="24"/><w:szCs w:val="24"/></w:rPr></w:r></w:p><w:p><w:pPr><w:pStyle w:val="style0"/><w:spacing w:line="360" w:lineRule="auto"/><w:jc w:val="both"/></w:pPr><w:r><w:rPr><w:rFonts w:ascii="Times New Roman" w:hAnsi="Times New Roman"/><w:sz w:val="24"/><w:szCs w:val="24"/></w:rPr></w:r></w:p><w:p><w:pPr><w:pStyle w:val="style0"/><w:spacing w:line="360" w:lineRule="auto"/><w:jc w:val="center"/></w:pPr><w:r><w:rPr><w:rFonts w:ascii="Times New Roman" w:hAnsi="Times New Roman"/><w:b/><w:sz w:val="24"/><w:szCs w:val="24"/></w:rPr><w:t>Bárbula, Febrero 2015</w:t></w:r></w:p><w:p><w:pPr><w:pStyle w:val="style0"/><w:spacing w:after="384" w:before="160" w:line="360" w:lineRule="auto"/><w:jc w:val="center"/></w:pPr><w:r><w:rPr><w:rFonts w:ascii="Times New Roman" w:hAnsi="Times New Roman"/><w:sz w:val="24"/><w:szCs w:val="24"/></w:rPr></w:r></w:p><w:p><w:pPr><w:pStyle w:val="style0"/><w:spacing w:after="0" w:before="0" w:line="100" w:lineRule="atLeast"/><w:jc w:val="center"/></w:pPr><w:r><w:rPr><w:rFonts w:ascii="Times New Roman" w:hAnsi="Times New Roman"/><w:sz w:val="24"/><w:szCs w:val="24"/></w:rPr><w:t>UNIVERSIDAD DE CARABOBO</w:t><w:drawing><wp:anchor allowOverlap="1" behindDoc="1" distB="0" distL="0" distR="0" distT="0" layoutInCell="1" locked="0" relativeHeight="0" simplePos="0"><wp:simplePos x="0" y="0"/><wp:positionH relativeFrom="character"><wp:posOffset>-948690</wp:posOffset></wp:positionH><wp:positionV relativeFrom="line"><wp:posOffset>-77470</wp:posOffset></wp:positionV><wp:extent cx="954405" cy="1155700"/><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1"/><a:srcRect/><a:stretch><a:fillRect/></a:stretch></pic:blipFill><pic:spPr bwMode="auto"><a:xfrm><a:off x="0" y="0"/><a:ext cx="954405" cy="1155700"/></a:xfrm><a:prstGeom prst="rect"><a:avLst/></a:prstGeom><a:noFill/><a:ln w="9525"><a:noFill/><a:miter lim="800000"/><a:headEnd/><a:tailEnd/></a:ln></pic:spPr></pic:pic></a:graphicData></a:graphic></wp:anchor></w:drawing><w:drawing><wp:anchor allowOverlap="1" behindDoc="1" distB="0" distL="0" distR="0" distT="0" layoutInCell="1" locked="0" relativeHeight="0" simplePos="0"><wp:simplePos x="0" y="0"/><wp:positionH relativeFrom="character"><wp:posOffset>4598035</wp:posOffset></wp:positionH><wp:positionV relativeFrom="line"><wp:posOffset>-146685</wp:posOffset></wp:positionV><wp:extent cx="1242060" cy="122491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2"/><a:srcRect/><a:stretch><a:fillRect/></a:stretch></pic:blipFill><pic:spPr bwMode="auto"><a:xfrm><a:off x="0" y="0"/><a:ext cx="1242060" cy="1224915"/></a:xfrm><a:prstGeom prst="rect"><a:avLst/></a:prstGeom><a:noFill/><a:ln w="9525"><a:noFill/><a:miter lim="800000"/><a:headEnd/><a:tailEnd/></a:ln></pic:spPr></pic:pic></a:graphicData></a:graphic></wp:anchor></w:drawing></w:r></w:p><w:p><w:pPr><w:pStyle w:val="style0"/><w:spacing w:after="0" w:before="0" w:line="100" w:lineRule="atLeast"/><w:jc w:val="center"/></w:pPr><w:r><w:rPr><w:rFonts w:ascii="Times New Roman" w:hAnsi="Times New Roman"/><w:sz w:val="24"/><w:szCs w:val="24"/></w:rPr><w:t>FACULTAD DE CIENCIAS ECONÓMICAS Y SOCIALES</w:t></w:r></w:p><w:p><w:pPr><w:pStyle w:val="style0"/><w:spacing w:after="0" w:before="0" w:line="100" w:lineRule="atLeast"/><w:jc w:val="center"/></w:pPr><w:r><w:rPr><w:rFonts w:ascii="Times New Roman" w:hAnsi="Times New Roman"/><w:sz w:val="24"/><w:szCs w:val="24"/></w:rPr><w:t>ÁREA DE ESTUDIOS DE POSTGRADO</w:t></w:r></w:p><w:p><w:pPr><w:pStyle w:val="style0"/><w:spacing w:after="0" w:before="0" w:line="100" w:lineRule="atLeast"/><w:jc w:val="center"/></w:pPr><w:r><w:rPr><w:rFonts w:ascii="Times New Roman" w:hAnsi="Times New Roman"/><w:sz w:val="24"/><w:szCs w:val="24"/></w:rPr><w:t>MAESTRÍA EN ADMINISTRACIÓN DE EMPRESAS MENCIÓN FINANZAS</w:t></w:r></w:p><w:p><w:pPr><w:pStyle w:val="style0"/><w:spacing w:after="0" w:before="0" w:line="100" w:lineRule="atLeast"/><w:jc w:val="center"/></w:pPr><w:r><w:rPr><w:rFonts w:ascii="Times New Roman" w:hAnsi="Times New Roman"/><w:sz w:val="24"/><w:szCs w:val="24"/></w:rPr><w:t>CAMPUS BÁRBULA</w:t></w:r></w:p><w:p><w:pPr><w:pStyle w:val="style0"/><w:spacing w:line="100" w:lineRule="atLeast"/><w:jc w:val="both"/></w:pPr><w:r><w:rPr><w:rFonts w:ascii="Times New Roman" w:hAnsi="Times New Roman"/><w:sz w:val="24"/><w:szCs w:val="24"/></w:rPr></w:r></w:p><w:p><w:pPr><w:pStyle w:val="style0"/><w:spacing w:line="100" w:lineRule="atLeast"/><w:jc w:val="both"/></w:pPr><w:r><w:rPr><w:rFonts w:ascii="Times New Roman" w:hAnsi="Times New Roman"/><w:sz w:val="24"/><w:szCs w:val="24"/></w:rPr></w:r></w:p><w:p><w:pPr><w:pStyle w:val="style0"/><w:spacing w:line="360" w:lineRule="auto"/><w:jc w:val="center"/></w:pPr><w:r><w:rPr><w:rFonts w:ascii="Times New Roman" w:hAnsi="Times New Roman"/><w:sz w:val="24"/><w:szCs w:val="24"/></w:rPr></w:r></w:p><w:p><w:pPr><w:pStyle w:val="style0"/><w:spacing w:line="360" w:lineRule="auto"/><w:jc w:val="center"/></w:pPr><w:r><w:rPr><w:rFonts w:ascii="Times New Roman" w:hAnsi="Times New Roman"/><w:b/><w:sz w:val="24"/><w:szCs w:val="24"/></w:rPr><w:t xml:space="preserve">CONSTANCIA DE APROBACIÓN DEL ASESOR METODOLÓGICO </w:t></w:r></w:p><w:p><w:pPr><w:pStyle w:val="style0"/><w:spacing w:line="100" w:lineRule="atLeast"/><w:jc w:val="both"/></w:pPr><w:r><w:rPr><w:rFonts w:ascii="Times New Roman" w:hAnsi="Times New Roman"/><w:color w:val="0D0D0D"/><w:sz w:val="24"/><w:szCs w:val="24"/></w:rPr></w:r></w:p><w:p><w:pPr><w:pStyle w:val="style0"/><w:spacing w:line="100" w:lineRule="atLeast"/><w:ind w:firstLine="708" w:left="0" w:right="0"/><w:jc w:val="both"/></w:pPr><w:r><w:rPr><w:rFonts w:ascii="Times New Roman" w:hAnsi="Times New Roman"/><w:color w:val="0D0D0D"/><w:sz w:val="24"/><w:szCs w:val="24"/></w:rPr><w:t xml:space="preserve">En mi carácter de Asesor Metodológico del Proyecto de Trabajo de Grado </w:t></w:r><w:r><w:rPr><w:rFonts w:ascii="Times New Roman" w:hAnsi="Times New Roman"/><w:sz w:val="24"/><w:szCs w:val="24"/></w:rPr><w:t>p</w:t></w:r><w:r><w:rPr><w:rFonts w:ascii="Times New Roman" w:hAnsi="Times New Roman"/><w:color w:val="0D0D0D"/><w:sz w:val="24"/><w:szCs w:val="24"/></w:rPr><w:t xml:space="preserve">resentado por la ciudadana Bello Suárez Victoria Carolina, titular de la cédula de identidad Nº V-18.189.478, para optar al Grado de Magíster en Administración de Empresas Mención Finanzas, considero que dicho trabajo reúne los requisitos y méritos suficientes para ser sometido a la presentación pública y evaluación por parte del jurado examinador que se le designe, cuyo título es: </w:t></w:r><w:r><w:rPr><w:rFonts w:ascii="Times New Roman" w:hAnsi="Times New Roman"/><w:b/><w:sz w:val="24"/><w:szCs w:val="24"/></w:rPr><w:t>PROPUESTA DE UN MODELO DE PLANIFICACIÓN FINANCIERA BASADO EN EL BALANCED SCORECARD PARA LA MAXIMIZACIÓN DE BENEFICIOS DEL FRIGORÍFICO INDUSTRIAL CARABOBO UBICADO EN EL MUNICIPIO VALENCIA, ESTADO CARABOBO.</w:t></w:r></w:p><w:p><w:pPr><w:pStyle w:val="style0"/><w:spacing w:line="360" w:lineRule="auto"/></w:pPr><w:r><w:rPr><w:rFonts w:ascii="Times New Roman" w:hAnsi="Times New Roman"/><w:sz w:val="24"/><w:szCs w:val="24"/></w:rPr></w:r></w:p><w:p><w:pPr><w:pStyle w:val="style0"/><w:spacing w:line="360" w:lineRule="auto"/><w:jc w:val="center"/></w:pPr><w:r><w:rPr><w:rFonts w:ascii="Times New Roman" w:hAnsi="Times New Roman"/><w:sz w:val="24"/><w:szCs w:val="24"/></w:rPr><w:t xml:space="preserve">________________________  </w:t></w:r></w:p><w:p><w:pPr><w:pStyle w:val="style0"/><w:spacing w:after="0" w:before="0" w:line="100" w:lineRule="atLeast"/><w:jc w:val="center"/></w:pPr><w:r><w:rPr><w:rFonts w:ascii="Times New Roman" w:hAnsi="Times New Roman"/><w:b/><w:sz w:val="24"/><w:szCs w:val="24"/></w:rPr><w:t>Eglee Fernández</w:t></w:r></w:p><w:p><w:pPr><w:pStyle w:val="style0"/><w:spacing w:after="0" w:before="0" w:line="100" w:lineRule="atLeast"/><w:jc w:val="center"/></w:pPr><w:r><w:rPr><w:rFonts w:ascii="Times New Roman" w:hAnsi="Times New Roman"/><w:b/><w:sz w:val="24"/><w:szCs w:val="24"/></w:rPr><w:t xml:space="preserve">C.I. 2.839.809 </w:t></w:r></w:p><w:p><w:pPr><w:pStyle w:val="style0"/><w:spacing w:line="360" w:lineRule="auto"/><w:jc w:val="center"/></w:pPr><w:r><w:rPr><w:rFonts w:ascii="Times New Roman" w:hAnsi="Times New Roman"/><w:sz w:val="24"/><w:szCs w:val="24"/></w:rPr></w:r></w:p><w:p><w:pPr><w:pStyle w:val="style0"/><w:spacing w:line="360" w:lineRule="auto"/><w:jc w:val="center"/></w:pPr><w:r><w:rPr><w:rFonts w:ascii="Times New Roman" w:hAnsi="Times New Roman"/><w:sz w:val="24"/><w:szCs w:val="24"/></w:rPr></w:r></w:p><w:p><w:pPr><w:pStyle w:val="style0"/><w:spacing w:line="360" w:lineRule="auto"/><w:jc w:val="center"/></w:pPr><w:r><w:rPr><w:rFonts w:ascii="Times New Roman" w:hAnsi="Times New Roman"/><w:sz w:val="24"/><w:szCs w:val="24"/></w:rPr><w:t>Bárbula, Febrero de 2015</w:t></w:r></w:p><w:p><w:pPr><w:pStyle w:val="style0"/><w:ind w:firstLine="708" w:left="0" w:right="0"/></w:pPr><w:r><w:rPr><w:rFonts w:ascii="Arial" w:cs="Arial" w:eastAsia="Times New Roman" w:hAnsi="Arial"/><w:lang w:eastAsia="es-VE" w:val="es-VE"/></w:rPr><w:drawing><wp:anchor allowOverlap="1" behindDoc="0" distB="0" distL="0" distR="0" distT="0" layoutInCell="1" locked="0" relativeHeight="0" simplePos="0"><wp:simplePos x="0" y="0"/><wp:positionH relativeFrom="character"><wp:posOffset>-31750</wp:posOffset></wp:positionH><wp:positionV relativeFrom="line"><wp:posOffset>-23495</wp:posOffset></wp:positionV><wp:extent cx="539750" cy="685800"/><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3"/><a:srcRect/><a:stretch><a:fillRect/></a:stretch></pic:blipFill><pic:spPr bwMode="auto"><a:xfrm><a:off x="0" y="0"/><a:ext cx="539750" cy="685800"/></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4540250</wp:posOffset></wp:positionH><wp:positionV relativeFrom="line"><wp:posOffset>-36195</wp:posOffset></wp:positionV><wp:extent cx="1422400" cy="762000"/><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4"/><a:srcRect/><a:stretch><a:fillRect/></a:stretch></pic:blipFill><pic:spPr bwMode="auto"><a:xfrm><a:off x="0" y="0"/><a:ext cx="1422400" cy="762000"/></a:xfrm><a:prstGeom prst="rect"><a:avLst/></a:prstGeom><a:noFill/><a:ln w="9525"><a:noFill/><a:miter lim="800000"/><a:headEnd/><a:tailEnd/></a:ln></pic:spPr></pic:pic></a:graphicData></a:graphic></wp:anchor></w:drawing></w:r></w:p><w:p><w:pPr><w:pStyle w:val="style55"/><w:spacing w:after="0" w:before="0" w:line="240" w:lineRule="atLeast"/><w:jc w:val="center"/></w:pPr><w:r><w:rPr><w:rFonts w:ascii="Arial" w:cs="Arial" w:hAnsi="Arial"/><w:i/><w:color w:val="000000"/><w:sz w:val="24"/><w:szCs w:val="24"/></w:rPr><w:t>Universidad de Carabobo.</w:t></w:r></w:p><w:p><w:pPr><w:pStyle w:val="style55"/><w:spacing w:after="0" w:before="0" w:line="240" w:lineRule="atLeast"/><w:jc w:val="center"/></w:pPr><w:r><w:rPr><w:rFonts w:ascii="Arial" w:cs="Arial" w:hAnsi="Arial"/><w:i/><w:color w:val="000000"/><w:sz w:val="24"/><w:szCs w:val="24"/></w:rPr><w:t>Facultad de Ciencias Económicas y Sociales</w:t></w:r></w:p><w:p><w:pPr><w:pStyle w:val="style55"/><w:spacing w:after="0" w:before="0" w:line="240" w:lineRule="atLeast"/><w:jc w:val="center"/></w:pPr><w:r><w:rPr><w:rFonts w:ascii="Arial" w:cs="Arial" w:hAnsi="Arial"/><w:i/><w:color w:val="000000"/><w:sz w:val="24"/><w:szCs w:val="24"/></w:rPr><w:t>Dirección de Estudios de Postgrado.</w:t></w:r></w:p><w:p><w:pPr><w:pStyle w:val="style55"/><w:spacing w:after="0" w:before="0" w:line="240" w:lineRule="atLeast"/><w:jc w:val="center"/></w:pPr><w:r><w:rPr><w:rFonts w:ascii="Arial" w:cs="Arial" w:hAnsi="Arial"/><w:i/><w:color w:val="000000"/></w:rPr><w:t>Maestría en Administración de Empresas Mención Finanzas</w:t></w:r></w:p><w:p><w:pPr><w:pStyle w:val="style0"/></w:pPr><w:r><w:rPr><w:rFonts w:ascii="Arial" w:cs="Arial" w:eastAsia="Times New Roman" w:hAnsi="Arial"/><w:lang w:eastAsia="es-VE" w:val="es-VE"/></w:rPr></w:r></w:p><w:p><w:pPr><w:pStyle w:val="style0"/></w:pPr><w:r><w:rPr><w:rFonts w:ascii="Arial" w:cs="Arial" w:eastAsia="Times New Roman" w:hAnsi="Arial"/><w:lang w:eastAsia="es-VE" w:val="es-VE"/></w:rPr></w:r></w:p><w:p><w:pPr><w:pStyle w:val="style0"/></w:pPr><w:r><w:rPr><w:rFonts w:ascii="Arial" w:cs="Arial" w:eastAsia="Times New Roman" w:hAnsi="Arial"/><w:lang w:eastAsia="es-VE" w:val="es-VE"/></w:rPr></w:r></w:p><w:p><w:pPr><w:pStyle w:val="style0"/><w:jc w:val="center"/></w:pPr><w:r><w:rPr><w:rFonts w:ascii="Arial" w:cs="Arial" w:eastAsia="Times New Roman" w:hAnsi="Arial"/><w:b/><w:sz w:val="24"/><w:szCs w:val="24"/><w:lang w:eastAsia="es-VE" w:val="es-VE"/></w:rPr><w:t>VEREDICTO</w:t></w:r></w:p><w:p><w:pPr><w:pStyle w:val="style0"/><w:spacing w:after="0" w:before="0" w:line="100" w:lineRule="atLeast"/><w:jc w:val="both"/></w:pPr><w:r><w:rPr><w:rFonts w:ascii="Arial" w:cs="Arial" w:eastAsia="Times New Roman" w:hAnsi="Arial"/><w:bCs/><w:sz w:val="24"/><w:szCs w:val="24"/><w:lang w:eastAsia="es-ES"/></w:rPr><w:t>Nosotros, Miembros del Jurado designado para la evaluación del Trabajo de Grado titulado:</w:t></w:r><w:r><w:rPr><w:rFonts w:ascii="Arial" w:cs="Arial" w:eastAsia="Times New Roman" w:hAnsi="Arial"/><w:b/><w:bCs/><w:i/><w:sz w:val="24"/><w:szCs w:val="24"/><w:lang w:eastAsia="es-ES"/></w:rPr><w:t xml:space="preserve"> </w:t></w:r><w:r><w:rPr><w:rFonts w:ascii="Arial" w:cs="Arial" w:eastAsia="Times New Roman" w:hAnsi="Arial"/><w:b/><w:bCs/><w:i/><w:iCs/><w:sz w:val="24"/><w:szCs w:val="24"/><w:lang w:eastAsia="es-ES"/></w:rPr><w:t xml:space="preserve">“Propuesta de un Modelo de Planificación Financiera basado en el Balanced Scorecard para la Maximización de Beneficios del Frigorífico Industrial Carabobo ubicado en el Municipio Valencia, Estado Carabobo”.  </w:t></w:r><w:r><w:rPr><w:rFonts w:ascii="Arial" w:cs="Arial" w:eastAsia="Times New Roman" w:hAnsi="Arial"/><w:bCs/><w:sz w:val="24"/><w:szCs w:val="24"/><w:lang w:eastAsia="es-ES"/></w:rPr><w:t>Presentado por la ciudadana:</w:t></w:r><w:r><w:rPr><w:rFonts w:ascii="Arial" w:cs="Arial" w:eastAsia="Times New Roman" w:hAnsi="Arial"/><w:b/><w:sz w:val="24"/><w:szCs w:val="24"/><w:lang w:eastAsia="es-ES"/></w:rPr><w:t xml:space="preserve"> </w:t></w:r><w:r><w:rPr><w:rFonts w:ascii="Arial" w:cs="Arial" w:eastAsia="Times New Roman" w:hAnsi="Arial"/><w:b/><w:bCs/><w:i/><w:iCs/><w:sz w:val="24"/><w:szCs w:val="24"/><w:lang w:eastAsia="es-ES"/></w:rPr><w:t xml:space="preserve">VICTORIA C. BELLO S., </w:t></w:r><w:r><w:rPr><w:rFonts w:ascii="Arial" w:cs="Arial" w:eastAsia="Times New Roman" w:hAnsi="Arial"/><w:bCs/><w:sz w:val="24"/><w:szCs w:val="24"/><w:lang w:eastAsia="es-ES"/></w:rPr><w:t>Titular de la Cédula de identidad</w:t></w:r><w:r><w:rPr><w:rFonts w:ascii="Arial" w:cs="Arial" w:eastAsia="Times New Roman" w:hAnsi="Arial"/><w:b/><w:bCs/><w:sz w:val="24"/><w:szCs w:val="24"/><w:lang w:eastAsia="es-ES"/></w:rPr><w:t xml:space="preserve"> Nº</w:t></w:r><w:r><w:rPr><w:rFonts w:ascii="Arial" w:cs="Arial" w:eastAsia="Times New Roman" w:hAnsi="Arial"/><w:b/><w:sz w:val="24"/><w:szCs w:val="24"/><w:lang w:eastAsia="es-ES" w:val="pt-BR"/></w:rPr><w:t xml:space="preserve"> </w:t></w:r><w:r><w:rPr><w:rFonts w:ascii="Arial" w:cs="Arial" w:eastAsia="Times New Roman" w:hAnsi="Arial"/><w:b/><w:bCs/><w:lang w:eastAsia="es-ES"/></w:rPr><w:t>18.189.478,</w:t></w:r><w:r><w:rPr><w:rFonts w:ascii="Arial" w:cs="Arial" w:eastAsia="Times New Roman" w:hAnsi="Arial"/><w:b/><w:lang w:eastAsia="es-ES" w:val="pt-BR"/></w:rPr><w:t xml:space="preserve"> </w:t></w:r><w:r><w:rPr><w:rFonts w:ascii="Arial" w:cs="Arial" w:eastAsia="Times New Roman" w:hAnsi="Arial"/><w:bCs/><w:sz w:val="24"/><w:szCs w:val="24"/><w:lang w:eastAsia="es-ES"/></w:rPr><w:t xml:space="preserve">para optar al título de </w:t></w:r><w:r><w:rPr><w:rFonts w:ascii="Arial" w:cs="Arial" w:eastAsia="Times New Roman" w:hAnsi="Arial"/><w:bCs/><w:i/><w:iCs/><w:sz w:val="24"/><w:szCs w:val="24"/><w:lang w:eastAsia="es-ES"/></w:rPr><w:t xml:space="preserve"> </w:t></w:r><w:r><w:rPr><w:rFonts w:ascii="Arial" w:cs="Arial" w:eastAsia="Times New Roman" w:hAnsi="Arial"/><w:b/><w:bCs/><w:iCs/><w:sz w:val="24"/><w:szCs w:val="24"/><w:lang w:eastAsia="es-ES"/></w:rPr><w:t>Magister en Administración de Empresas Mención Finanzas</w:t></w:r><w:r><w:rPr><w:rFonts w:ascii="Arial" w:cs="Arial" w:eastAsia="Times New Roman" w:hAnsi="Arial"/><w:bCs/><w:i/><w:iCs/><w:sz w:val="24"/><w:szCs w:val="24"/><w:lang w:eastAsia="es-ES"/></w:rPr><w:t xml:space="preserve">  </w:t></w:r><w:r><w:rPr><w:rFonts w:ascii="Arial" w:cs="Arial" w:eastAsia="Times New Roman" w:hAnsi="Arial"/><w:bCs/><w:sz w:val="24"/><w:szCs w:val="24"/><w:lang w:eastAsia="es-ES"/></w:rPr><w:t xml:space="preserve">por el aspirante el mismo reúne los requisitos para ser considerado como: </w:t></w:r></w:p><w:p><w:pPr><w:pStyle w:val="style0"/><w:spacing w:after="0" w:before="0" w:line="360" w:lineRule="auto"/><w:jc w:val="both"/></w:pPr><w:r><w:rPr><w:rFonts w:ascii="Arial" w:cs="Arial" w:eastAsia="Times New Roman" w:hAnsi="Arial"/><w:bCs/><w:sz w:val="24"/><w:szCs w:val="24"/><w:lang w:eastAsia="es-ES"/></w:rPr></w:r></w:p><w:p><w:pPr><w:pStyle w:val="style0"/><w:spacing w:after="0" w:before="0" w:line="100" w:lineRule="atLeast"/><w:jc w:val="both"/></w:pPr><w:r><w:rPr><w:rFonts w:ascii="Arial" w:cs="Arial" w:eastAsia="Times New Roman" w:hAnsi="Arial"/><w:b/><w:bCs/><w:sz w:val="24"/><w:szCs w:val="24"/><w:lang w:eastAsia="es-ES"/></w:rPr><w:t xml:space="preserve">_____________________________________________________________ </w:t></w:r></w:p><w:p><w:pPr><w:pStyle w:val="style0"/><w:jc w:val="both"/></w:pPr><w:r><w:rPr><w:rFonts w:eastAsia="Times New Roman"/><w:lang w:eastAsia="es-VE" w:val="es-VE"/></w:rPr></w:r></w:p><w:p><w:pPr><w:pStyle w:val="style0"/><w:jc w:val="both"/></w:pPr><w:r><w:rPr><w:rFonts w:ascii="Arial" w:cs="Arial" w:eastAsia="Times New Roman" w:hAnsi="Arial"/><w:sz w:val="24"/><w:lang w:eastAsia="es-VE" w:val="es-VE"/></w:rPr><w:t>Nombre, Apellido                          C.I.                                   Firma del Jurado</w:t></w:r></w:p><w:p><w:pPr><w:pStyle w:val="style0"/><w:jc w:val="both"/></w:pPr><w:r><w:rPr><w:rFonts w:ascii="Arial" w:cs="Arial" w:eastAsia="Times New Roman" w:hAnsi="Arial"/><w:lang w:eastAsia="es-VE" w:val="es-VE"/></w:rPr></w:r></w:p><w:p><w:pPr><w:pStyle w:val="style0"/><w:jc w:val="both"/></w:pPr><w:r><w:rPr><w:rFonts w:ascii="Arial" w:cs="Arial" w:eastAsia="Times New Roman" w:hAnsi="Arial"/><w:lang w:eastAsia="es-VE" w:val="es-VE"/></w:rPr><w:t>______________________ ________________         ________________________</w:t></w:r></w:p><w:p><w:pPr><w:pStyle w:val="style0"/><w:jc w:val="both"/></w:pPr><w:r><w:rPr><w:rFonts w:ascii="Arial" w:cs="Arial" w:eastAsia="Times New Roman" w:hAnsi="Arial"/><w:lang w:eastAsia="es-VE" w:val="es-VE"/></w:rPr></w:r></w:p><w:p><w:pPr><w:pStyle w:val="style0"/><w:jc w:val="both"/></w:pPr><w:r><w:rPr><w:rFonts w:ascii="Arial" w:cs="Arial" w:eastAsia="Times New Roman" w:hAnsi="Arial"/><w:lang w:eastAsia="es-VE" w:val="es-VE"/></w:rPr><w:t>______________________   _______________         ________________________</w:t></w:r></w:p><w:p><w:pPr><w:pStyle w:val="style0"/><w:jc w:val="both"/></w:pPr><w:r><w:rPr><w:rFonts w:ascii="Arial" w:cs="Arial" w:eastAsia="Times New Roman" w:hAnsi="Arial"/><w:b/><w:lang w:eastAsia="es-VE" w:val="es-VE"/></w:rPr></w:r></w:p><w:p><w:pPr><w:pStyle w:val="style0"/><w:jc w:val="both"/></w:pPr><w:r><w:rPr><w:rFonts w:ascii="Arial" w:cs="Arial" w:eastAsia="Times New Roman" w:hAnsi="Arial"/><w:lang w:eastAsia="es-VE" w:val="es-VE"/></w:rPr><w:t>______________________   _______________         ________________________</w:t></w:r></w:p><w:p><w:pPr><w:pStyle w:val="style0"/><w:jc w:val="both"/></w:pPr><w:r><w:rPr><w:rFonts w:ascii="Arial" w:cs="Arial" w:eastAsia="Times New Roman" w:hAnsi="Arial"/><w:lang w:eastAsia="es-VE" w:val="es-VE"/></w:rPr></w:r></w:p><w:p><w:pPr><w:pStyle w:val="style0"/><w:jc w:val="both"/></w:pPr><w:r><w:rPr><w:rFonts w:ascii="Arial" w:cs="Arial" w:eastAsia="Times New Roman" w:hAnsi="Arial"/><w:lang w:eastAsia="es-VE" w:val="es-VE"/></w:rPr></w:r></w:p><w:p><w:pPr><w:pStyle w:val="style0"/><w:jc w:val="both"/></w:pPr><w:r><w:rPr><w:rFonts w:ascii="Arial" w:cs="Arial" w:eastAsia="Times New Roman" w:hAnsi="Arial"/><w:lang w:eastAsia="es-VE" w:val="es-VE"/></w:rPr></w:r></w:p><w:p><w:pPr><w:pStyle w:val="style0"/><w:jc w:val="center"/></w:pPr><w:r><w:rPr><w:rFonts w:ascii="Arial" w:cs="Arial" w:eastAsia="Times New Roman" w:hAnsi="Arial"/><w:b/><w:lang w:eastAsia="es-VE" w:val="es-VE"/></w:rPr><w:t>Bárbula, Octubre   2015</w:t></w:r></w:p><w:p><w:pPr><w:pStyle w:val="style0"/><w:spacing w:line="360" w:lineRule="auto"/></w:pPr><w:r><w:rPr><w:rFonts w:ascii="Times New Roman" w:hAnsi="Times New Roman"/><w:sz w:val="24"/><w:szCs w:val="24"/></w:rPr></w:r></w:p><w:p><w:pPr><w:pStyle w:val="style0"/><w:spacing w:after="0" w:before="0" w:line="100" w:lineRule="atLeast"/><w:jc w:val="center"/></w:pPr><w:r><w:rPr><w:rFonts w:ascii="Times New Roman" w:hAnsi="Times New Roman"/><w:sz w:val="24"/><w:szCs w:val="24"/></w:rPr><w:t>UNIVERSIDAD DE CARABOBO</w:t><w:drawing><wp:anchor allowOverlap="1" behindDoc="0" distB="0" distL="0" distR="0" distT="0" layoutInCell="1" locked="0" relativeHeight="0" simplePos="0"><wp:simplePos x="0" y="0"/><wp:positionH relativeFrom="character"><wp:posOffset>4775200</wp:posOffset></wp:positionH><wp:positionV relativeFrom="line"><wp:posOffset>-3175</wp:posOffset></wp:positionV><wp:extent cx="912495" cy="709930"/><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5"/><a:srcRect/><a:stretch><a:fillRect/></a:stretch></pic:blipFill><pic:spPr bwMode="auto"><a:xfrm><a:off x="0" y="0"/><a:ext cx="912495" cy="709930"/></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-238760</wp:posOffset></wp:positionH><wp:positionV relativeFrom="line"><wp:posOffset>-3175</wp:posOffset></wp:positionV><wp:extent cx="623570" cy="794385"/><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6"/><a:srcRect/><a:stretch><a:fillRect/></a:stretch></pic:blipFill><pic:spPr bwMode="auto"><a:xfrm><a:off x="0" y="0"/><a:ext cx="623570" cy="794385"/></a:xfrm><a:prstGeom prst="rect"><a:avLst/></a:prstGeom><a:noFill/><a:ln w="9525"><a:noFill/><a:miter lim="800000"/><a:headEnd/><a:tailEnd/></a:ln></pic:spPr></pic:pic></a:graphicData></a:graphic></wp:anchor></w:drawing></w:r></w:p><w:p><w:pPr><w:pStyle w:val="style0"/><w:spacing w:after="0" w:before="0" w:line="100" w:lineRule="atLeast"/><w:jc w:val="center"/></w:pPr><w:r><w:rPr><w:rFonts w:ascii="Times New Roman" w:hAnsi="Times New Roman"/><w:sz w:val="24"/><w:szCs w:val="24"/></w:rPr><w:t>FACULTAD DE CIENCIAS ECONÓMICAS Y SOCIALES</w:t></w:r></w:p><w:p><w:pPr><w:pStyle w:val="style0"/><w:spacing w:after="0" w:before="0" w:line="100" w:lineRule="atLeast"/><w:jc w:val="center"/></w:pPr><w:r><w:rPr><w:rFonts w:ascii="Times New Roman" w:hAnsi="Times New Roman"/><w:sz w:val="24"/><w:szCs w:val="24"/></w:rPr><w:t>ÁREA DE ESTUDIOS DE POSTGRADO</w:t></w:r></w:p><w:p><w:pPr><w:pStyle w:val="style0"/><w:spacing w:after="0" w:before="0" w:line="100" w:lineRule="atLeast"/><w:jc w:val="center"/></w:pPr><w:r><w:rPr><w:rFonts w:ascii="Times New Roman" w:hAnsi="Times New Roman"/><w:sz w:val="24"/><w:szCs w:val="24"/></w:rPr><w:t xml:space="preserve">MAESTRÍA EN ADMINISTRACIÓN DE EMPRESAS MENCIÓN </w:t></w:r></w:p><w:p><w:pPr><w:pStyle w:val="style0"/><w:spacing w:after="0" w:before="0" w:line="100" w:lineRule="atLeast"/><w:jc w:val="center"/></w:pPr><w:r><w:rPr><w:rFonts w:ascii="Times New Roman" w:hAnsi="Times New Roman"/><w:sz w:val="24"/><w:szCs w:val="24"/></w:rPr><w:t>FINANZAS</w:t></w:r></w:p><w:p><w:pPr><w:pStyle w:val="style0"/><w:spacing w:after="0" w:before="0" w:line="100" w:lineRule="atLeast"/><w:jc w:val="center"/></w:pPr><w:r><w:rPr><w:rFonts w:ascii="Times New Roman" w:hAnsi="Times New Roman"/><w:sz w:val="24"/><w:szCs w:val="24"/></w:rPr><w:t>CAMPUS BÁRBULA</w:t></w:r></w:p><w:p><w:pPr><w:pStyle w:val="style0"/><w:spacing w:after="0" w:before="0" w:line="100" w:lineRule="atLeast"/><w:jc w:val="both"/></w:pPr><w:r><w:rPr><w:rFonts w:ascii="Times New Roman" w:hAnsi="Times New Roman"/><w:sz w:val="24"/><w:szCs w:val="24"/></w:rPr></w:r></w:p><w:p><w:pPr><w:pStyle w:val="style0"/><w:spacing w:line="360" w:lineRule="auto"/><w:jc w:val="both"/></w:pPr><w:r><w:rPr><w:rFonts w:ascii="Times New Roman" w:hAnsi="Times New Roman"/><w:sz w:val="24"/><w:szCs w:val="24"/></w:rPr></w:r></w:p><w:p><w:pPr><w:pStyle w:val="style0"/><w:spacing w:after="0" w:before="0" w:line="100" w:lineRule="atLeast"/><w:jc w:val="center"/></w:pPr><w:r><w:rPr><w:rFonts w:ascii="Times New Roman" w:hAnsi="Times New Roman"/><w:b/><w:sz w:val="24"/><w:szCs w:val="24"/></w:rPr><w:t>PROPUESTA DE UN MODELO DE PLANIFICACIÓN FINANCIERA BASADO EN EL BALANCED SCORECARD PARA LA MAXIMIZACIÓN DE BENEFICIOS DEL FRIGORÍFICO INDUSTRIAL CARABOBO UBICADO EN EL MUNICIPIO VALENCIA, ESTADO CARABOBO.</w:t></w:r></w:p><w:p><w:pPr><w:pStyle w:val="style0"/><w:spacing w:after="0" w:before="0" w:line="100" w:lineRule="atLeast"/><w:jc w:val="center"/></w:pPr><w:r><w:rPr><w:rFonts w:ascii="Times New Roman" w:hAnsi="Times New Roman"/><w:sz w:val="24"/><w:szCs w:val="24"/></w:rPr></w:r></w:p><w:p><w:pPr><w:pStyle w:val="style0"/><w:spacing w:after="0" w:before="0" w:line="100" w:lineRule="atLeast"/><w:jc w:val="right"/></w:pPr><w:r><w:rPr><w:rFonts w:ascii="Times New Roman" w:hAnsi="Times New Roman"/><w:sz w:val="24"/><w:szCs w:val="24"/></w:rPr><w:t>Autora: Victoria Bello</w:t></w:r></w:p><w:p><w:pPr><w:pStyle w:val="style0"/><w:spacing w:after="0" w:before="0" w:line="100" w:lineRule="atLeast"/><w:jc w:val="right"/></w:pPr><w:r><w:rPr><w:rFonts w:ascii="Times New Roman" w:hAnsi="Times New Roman"/><w:sz w:val="24"/><w:szCs w:val="24"/></w:rPr><w:t>Tutor: Robert Parga</w:t></w:r></w:p><w:p><w:pPr><w:pStyle w:val="style0"/><w:spacing w:after="0" w:before="0" w:line="100" w:lineRule="atLeast"/><w:jc w:val="right"/></w:pPr><w:r><w:rPr><w:rFonts w:ascii="Times New Roman" w:hAnsi="Times New Roman"/><w:sz w:val="24"/><w:szCs w:val="24"/></w:rPr><w:t>Fecha: Febrero, 2015</w:t></w:r></w:p><w:p><w:pPr><w:pStyle w:val="style0"/><w:spacing w:after="0" w:before="0" w:line="360" w:lineRule="auto"/><w:jc w:val="right"/></w:pPr><w:r><w:rPr><w:rFonts w:ascii="Times New Roman" w:hAnsi="Times New Roman"/><w:sz w:val="24"/><w:szCs w:val="24"/></w:rPr></w:r></w:p><w:p><w:pPr><w:pStyle w:val="style0"/><w:spacing w:after="0" w:before="0" w:line="360" w:lineRule="auto"/><w:jc w:val="center"/></w:pPr><w:r><w:rPr><w:rFonts w:ascii="Times New Roman" w:hAnsi="Times New Roman"/><w:b/><w:sz w:val="24"/><w:szCs w:val="24"/></w:rPr><w:t>RESUMEN</w:t></w:r></w:p><w:p><w:pPr><w:pStyle w:val="style0"/><w:spacing w:after="384" w:before="160" w:line="100" w:lineRule="atLeast"/><w:jc w:val="both"/></w:pPr><w:r><w:rPr><w:rFonts w:ascii="Times New Roman" w:hAnsi="Times New Roman"/><w:sz w:val="24"/><w:szCs w:val="24"/><w:lang w:val="es-ES"/></w:rPr><w:t xml:space="preserve">El propósito de esta investigación es plantear un modelo de planificación financiera  en la empresa Frigorífico Industrial Carabobo (FRINCA), a través del cual pueda estar orientada a un logro de objetivos estratégicos desde el punto de vista financiero, acorde a sus necesidades y su proyección, conforme a la salud actual de la empresa. Se realizó a través de tres (03) objetivos, primeramente se hizo un diagnóstico de la salud financiera de la empresa a través del análisis de sus estados financieros., con el fin de evaluar su situación actual; seguidamente se analizaron los factores internos y externos como resultado de los índices arrojados para finalmente, presentar la propuesta de planificación financiera, bajo los criterios del </w:t></w:r><w:r><w:rPr><w:rFonts w:ascii="Times New Roman" w:hAnsi="Times New Roman"/><w:i/><w:sz w:val="24"/><w:szCs w:val="24"/><w:lang w:val="es-ES"/></w:rPr><w:t xml:space="preserve">Balanced Score Card </w:t></w:r><w:r><w:rPr><w:rFonts w:ascii="Times New Roman" w:hAnsi="Times New Roman"/><w:sz w:val="24"/><w:szCs w:val="24"/><w:lang w:val="es-ES"/></w:rPr><w:t xml:space="preserve">como herramienta para la consecución de logros, tomando como premisa la maximización de los beneficios. La metodología de la investigación tiene un nivel de </w:t></w:r><w:r><w:rPr><w:rFonts w:ascii="Times New Roman" w:hAnsi="Times New Roman"/><w:i/><w:sz w:val="24"/><w:szCs w:val="24"/><w:lang w:val="es-ES"/></w:rPr><w:t>Investigación Descriptiva</w:t></w:r><w:r><w:rPr><w:rFonts w:ascii="Times New Roman" w:hAnsi="Times New Roman"/><w:sz w:val="24"/><w:szCs w:val="24"/><w:lang w:val="es-ES"/></w:rPr><w:t xml:space="preserve"> a través del estudio documental para la obtención de los resultados establecidos, los cuales concluyeron, que la empresa de acuerdo a la evaluación de los estados financieros dan a conocer una salud financiera poco favorable y por ende, un análisis de las factores internos y externos que evidencian una serie de aspectos los cuales se toman en cuenta para el seguimiento y aplicación de políticas, que permitan una mejora en las proyecciones financieras, esto a través de la aplicación del plan propuesto, lo cual no es tema de esta investigación. </w:t></w:r></w:p><w:p><w:pPr><w:pStyle w:val="style0"/><w:spacing w:after="384" w:before="160" w:line="100" w:lineRule="atLeast"/><w:jc w:val="both"/></w:pPr><w:r><w:rPr><w:rFonts w:ascii="Times New Roman" w:hAnsi="Times New Roman"/><w:sz w:val="24"/><w:szCs w:val="24"/><w:lang w:val="es-ES"/></w:rPr><w:t xml:space="preserve">Palabras Claves: </w:t></w:r><w:r><w:rPr><w:rFonts w:ascii="Times New Roman" w:hAnsi="Times New Roman"/><w:i/><w:sz w:val="24"/><w:szCs w:val="24"/><w:lang w:val="es-ES"/></w:rPr><w:t>Balanced Score Card</w:t></w:r><w:r><w:rPr><w:rFonts w:ascii="Times New Roman" w:hAnsi="Times New Roman"/><w:sz w:val="24"/><w:szCs w:val="24"/><w:lang w:val="es-ES"/></w:rPr><w:t>, Maximización de Beneficios, Objetivos Estratégicos, Indicadores Financieros.</w:t></w:r></w:p><w:p><w:pPr><w:pStyle w:val="style0"/><w:spacing w:after="0" w:before="0" w:line="100" w:lineRule="atLeast"/><w:jc w:val="center"/></w:pPr><w:r><w:rPr><w:rFonts w:ascii="Times New Roman" w:hAnsi="Times New Roman"/><w:sz w:val="24"/><w:szCs w:val="24"/></w:rPr><w:t>UNIVERSIDAD DE CARABOBO</w:t><w:drawing><wp:anchor allowOverlap="1" behindDoc="0" distB="0" distL="0" distR="0" distT="0" layoutInCell="1" locked="0" relativeHeight="0" simplePos="0"><wp:simplePos x="0" y="0"/><wp:positionH relativeFrom="character"><wp:posOffset>-534035</wp:posOffset></wp:positionH><wp:positionV relativeFrom="line"><wp:posOffset>-98425</wp:posOffset></wp:positionV><wp:extent cx="623570" cy="794385"/><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7"/><a:srcRect/><a:stretch><a:fillRect/></a:stretch></pic:blipFill><pic:spPr bwMode="auto"><a:xfrm><a:off x="0" y="0"/><a:ext cx="623570" cy="794385"/></a:xfrm><a:prstGeom prst="rect"><a:avLst/></a:prstGeom><a:noFill/><a:ln w="9525"><a:noFill/><a:miter lim="800000"/><a:headEnd/><a:tailEnd/></a:ln></pic:spPr></pic:pic></a:graphicData></a:graphic></wp:anchor></w:drawing><w:drawing><wp:anchor allowOverlap="1" behindDoc="0" distB="0" distL="0" distR="0" distT="0" layoutInCell="1" locked="0" relativeHeight="0" simplePos="0"><wp:simplePos x="0" y="0"/><wp:positionH relativeFrom="character"><wp:posOffset>4888865</wp:posOffset></wp:positionH><wp:positionV relativeFrom="line"><wp:posOffset>-3175</wp:posOffset></wp:positionV><wp:extent cx="912495" cy="709930"/><wp:effectExtent b="0" l="0" r="0" t="0"/><wp:wrapNone/><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18"/><a:srcRect/><a:stretch><a:fillRect/></a:stretch></pic:blipFill><pic:spPr bwMode="auto"><a:xfrm><a:off x="0" y="0"/><a:ext cx="912495" cy="709930"/></a:xfrm><a:prstGeom prst="rect"><a:avLst/></a:prstGeom><a:noFill/><a:ln w="9525"><a:noFill/><a:miter lim="800000"/><a:headEnd/><a:tailEnd/></a:ln></pic:spPr></pic:pic></a:graphicData></a:graphic></wp:anchor></w:drawing></w:r></w:p><w:p><w:pPr><w:pStyle w:val="style0"/><w:spacing w:after="0" w:before="0" w:line="100" w:lineRule="atLeast"/><w:jc w:val="center"/></w:pPr><w:r><w:rPr><w:rFonts w:ascii="Times New Roman" w:hAnsi="Times New Roman"/><w:sz w:val="24"/><w:szCs w:val="24"/></w:rPr><w:t>FACULTAD DE CIENCIAS ECONÓMICAS Y SOCIALES</w:t></w:r></w:p><w:p><w:pPr><w:pStyle w:val="style0"/><w:spacing w:after="0" w:before="0" w:line="100" w:lineRule="atLeast"/><w:jc w:val="center"/></w:pPr><w:r><w:rPr><w:rFonts w:ascii="Times New Roman" w:hAnsi="Times New Roman"/><w:sz w:val="24"/><w:szCs w:val="24"/></w:rPr><w:t>ÁREA DE ESTUDIOS DE POSTGRADO</w:t></w:r></w:p><w:p><w:pPr><w:pStyle w:val="style0"/><w:spacing w:after="0" w:before="0" w:line="100" w:lineRule="atLeast"/><w:jc w:val="center"/></w:pPr><w:r><w:rPr><w:rFonts w:ascii="Times New Roman" w:hAnsi="Times New Roman"/><w:sz w:val="24"/><w:szCs w:val="24"/></w:rPr><w:t xml:space="preserve">MAESTRÍA EN ADMINISTRACIÓN DE EMPRESAS MENCIÓN </w:t></w:r></w:p><w:p><w:pPr><w:pStyle w:val="style0"/><w:spacing w:after="0" w:before="0" w:line="100" w:lineRule="atLeast"/><w:jc w:val="center"/></w:pPr><w:r><w:rPr><w:rFonts w:ascii="Times New Roman" w:hAnsi="Times New Roman"/><w:sz w:val="24"/><w:szCs w:val="24"/></w:rPr><w:t>FINANZAS</w:t></w:r></w:p><w:p><w:pPr><w:pStyle w:val="style0"/><w:spacing w:after="0" w:before="0" w:line="100" w:lineRule="atLeast"/><w:jc w:val="center"/></w:pPr><w:r><w:rPr><w:rFonts w:ascii="Times New Roman" w:hAnsi="Times New Roman"/><w:sz w:val="24"/><w:szCs w:val="24"/></w:rPr><w:t>CAMPUS BÁRBULA</w:t></w:r></w:p><w:p><w:pPr><w:pStyle w:val="style0"/><w:spacing w:after="0" w:before="0" w:line="100" w:lineRule="atLeast"/><w:jc w:val="both"/></w:pPr><w:r><w:rPr><w:rFonts w:ascii="Times New Roman" w:hAnsi="Times New Roman"/><w:sz w:val="24"/><w:szCs w:val="24"/></w:rPr></w:r></w:p><w:p><w:pPr><w:pStyle w:val="style0"/><w:spacing w:line="360" w:lineRule="auto"/><w:jc w:val="both"/></w:pPr><w:r><w:rPr><w:rFonts w:ascii="Times New Roman" w:hAnsi="Times New Roman"/><w:sz w:val="24"/><w:szCs w:val="24"/></w:rPr></w:r></w:p><w:p><w:pPr><w:pStyle w:val="style0"/><w:spacing w:after="0" w:before="0" w:line="100" w:lineRule="atLeast"/><w:jc w:val="center"/></w:pPr><w:r><w:rPr><w:rFonts w:ascii="Times New Roman" w:hAnsi="Times New Roman"/><w:b/><w:sz w:val="24"/><w:szCs w:val="24"/></w:rPr><w:t>PROPUESTA DE UN MODELO DE PLANIFICACIÓN FINANCIERA BASADO EN EL BALANCED SCORECARD PARA LA MAXIMIZACIÓN DE BENEFICIOS DEL FRIGORÍFICO INDUSTRIAL CARABOBO UBICADO EN EL MUNICIPIO VALENCIA, ESTADO CARABOBO.</w:t></w:r></w:p><w:p><w:pPr><w:pStyle w:val="style0"/><w:spacing w:after="0" w:before="0" w:line="100" w:lineRule="atLeast"/><w:jc w:val="center"/></w:pPr><w:r><w:rPr><w:rFonts w:ascii="Times New Roman" w:hAnsi="Times New Roman"/><w:sz w:val="24"/><w:szCs w:val="24"/></w:rPr></w:r></w:p><w:p><w:pPr><w:pStyle w:val="style0"/><w:spacing w:after="0" w:before="0" w:line="100" w:lineRule="atLeast"/><w:jc w:val="right"/></w:pPr><w:r><w:rPr><w:rFonts w:ascii="Times New Roman" w:hAnsi="Times New Roman"/><w:sz w:val="24"/><w:szCs w:val="24"/></w:rPr><w:t>Autora: Victoria Bello</w:t></w:r></w:p><w:p><w:pPr><w:pStyle w:val="style0"/><w:spacing w:after="0" w:before="0" w:line="100" w:lineRule="atLeast"/><w:jc w:val="right"/></w:pPr><w:r><w:rPr><w:rFonts w:ascii="Times New Roman" w:hAnsi="Times New Roman"/><w:sz w:val="24"/><w:szCs w:val="24"/></w:rPr><w:t>Tutor: Robert Parga</w:t></w:r></w:p><w:p><w:pPr><w:pStyle w:val="style0"/><w:spacing w:after="0" w:before="0" w:line="100" w:lineRule="atLeast"/><w:jc w:val="right"/></w:pPr><w:r><w:rPr><w:rFonts w:ascii="Times New Roman" w:hAnsi="Times New Roman"/><w:sz w:val="24"/><w:szCs w:val="24"/><w:lang w:val="en-US"/></w:rPr><w:t>Fecha: Febrero, 2015</w:t></w:r></w:p><w:p><w:pPr><w:pStyle w:val="style0"/><w:spacing w:after="0" w:before="0" w:line="360" w:lineRule="auto"/><w:jc w:val="right"/></w:pPr><w:r><w:rPr><w:rFonts w:ascii="Times New Roman" w:hAnsi="Times New Roman"/><w:sz w:val="24"/><w:szCs w:val="24"/><w:lang w:val="en-US"/></w:rPr></w:r></w:p><w:p><w:pPr><w:pStyle w:val="style0"/><w:spacing w:after="0" w:before="0" w:line="360" w:lineRule="auto"/><w:jc w:val="right"/></w:pPr><w:r><w:rPr><w:rFonts w:ascii="Times New Roman" w:hAnsi="Times New Roman"/><w:sz w:val="24"/><w:szCs w:val="24"/><w:lang w:val="en-US"/></w:rPr></w:r></w:p><w:p><w:pPr><w:pStyle w:val="style0"/><w:spacing w:after="0" w:before="0" w:line="360" w:lineRule="auto"/><w:jc w:val="center"/></w:pPr><w:r><w:rPr><w:rFonts w:ascii="Times New Roman" w:hAnsi="Times New Roman"/><w:b/><w:sz w:val="24"/><w:szCs w:val="24"/><w:lang w:val="en-US"/></w:rPr><w:t>SUMARY</w:t></w:r></w:p><w:p><w:pPr><w:pStyle w:val="style0"/><w:spacing w:after="384" w:before="160" w:line="100" w:lineRule="atLeast"/><w:jc w:val="both"/></w:pPr><w:r><w:rPr><w:rFonts w:ascii="Times New Roman" w:hAnsi="Times New Roman"/><w:sz w:val="24"/><w:szCs w:val="24"/><w:lang w:val="en-US"/></w:rPr><w:t>The purpose of this research is to propose a model of financial planning firm in Carabobo Industrial Refrigerator (FRINCA), through which can be geared to achieving strategic objectives from a financial point of view, according to their needs and their projection, under the current health of the company. It was conducted by three (03) targets, he was first diagnosed with the financial health of the company through the analysis of its financial statements, in order to assess their current situation.; then the internal and external factors resulting indices were analyzed finally thrown to present the proposal of financial planning, under the criteria of the Balanced Scorecard as a tool for achieving success, on the premise of maximizing profits. The research methodology has a level of descriptive research through the desk study to obtain the results set, which concluded that the company according to the assessment of the financial statements disclosed an unfavorable financial health and Thus, an analysis of the internal and external factors that show a number of aspects which are taken into account in the monitoring and implementation of policies that permit an improvement in the financial projections, this through the implementation of the proposed plan, the which is not the subject of this investigation.</w:t></w:r></w:p><w:p><w:pPr><w:pStyle w:val="style0"/><w:spacing w:after="384" w:before="160" w:line="100" w:lineRule="atLeast"/><w:jc w:val="both"/></w:pPr><w:r><w:rPr><w:rFonts w:ascii="Times New Roman" w:hAnsi="Times New Roman"/><w:sz w:val="24"/><w:szCs w:val="24"/><w:lang w:val="en-US"/></w:rPr><w:t>Keywords: Balanced Score Card, Maximizing Benefits, Strategic Objectives, Financial Indicators.</w:t></w:r></w:p><w:p><w:pPr><w:pStyle w:val="style45"/><w:spacing w:after="144" w:before="60"/><w:jc w:val="center"/></w:pPr><w:r><w:rPr><w:rFonts w:ascii="Times New Roman" w:hAnsi="Times New Roman"/><w:color w:val="00000A"/><w:sz w:val="24"/><w:szCs w:val="24"/><w:lang w:val="en-US"/></w:rPr><w:t>ÍNDICE GENERAL</w:t></w:r></w:p><w:p><w:pPr><w:pStyle w:val="style0"/></w:pPr><w:r><w:rPr><w:lang w:val="en-US"/></w:rPr></w:r></w:p><w:p><w:pPr><w:sectPr><w:footerReference r:id="rId19" w:type="default"/><w:type w:val="nextPage"/><w:pgSz w:h="15840" w:w="12240"/><w:pgMar w:bottom="1049" w:footer="992" w:gutter="0" w:header="0" w:left="2268" w:right="1701" w:top="2268"/><w:pgNumType w:fmt="decimal"/><w:formProt w:val="false"/><w:textDirection w:val="lrTb"/><w:docGrid w:charSpace="4096" w:linePitch="360" w:type="default"/></w:sectPr></w:pPr></w:p><w:p><w:pPr><w:pStyle w:val="style46"/><w:tabs><w:tab w:leader="dot" w:pos="8271" w:val="right"/></w:tabs></w:pPr><w:r><w:fldChar w:fldCharType="begin"></w:fldChar></w:r><w:r><w:instrText> TOC </w:instrText></w:r><w:r><w:fldChar w:fldCharType="separate"/></w:r><w:hyperlink w:anchor="__RefHeading__24270_1557213427"><w:r><w:rPr><w:rStyle w:val="style34"/></w:rPr><w:t>INTRODUCCIÓN</w:t><w:tab/><w:t>5</w:t></w:r></w:hyperlink></w:p><w:p><w:pPr><w:pStyle w:val="style46"/><w:tabs><w:tab w:leader="dot" w:pos="8271" w:val="right"/></w:tabs></w:pPr><w:hyperlink w:anchor="__RefHeading__24272_1557213427"><w:r><w:rPr><w:rStyle w:val="style34"/></w:rPr><w:t>CAPITULO I</w:t><w:tab/><w:t>6</w:t></w:r></w:hyperlink></w:p><w:p><w:pPr><w:pStyle w:val="style46"/><w:tabs><w:tab w:leader="dot" w:pos="8271" w:val="right"/></w:tabs></w:pPr><w:hyperlink w:anchor="__RefHeading__24274_1557213427"><w:r><w:rPr><w:rStyle w:val="style34"/></w:rPr><w:t xml:space="preserve"> </w:t></w:r><w:r><w:rPr><w:rStyle w:val="style34"/></w:rPr><w:t>EL PROBLEMA</w:t><w:tab/><w:t>6</w:t></w:r></w:hyperlink></w:p><w:p><w:pPr><w:pStyle w:val="style47"/><w:tabs><w:tab w:leader="dot" w:pos="8491" w:val="right"/></w:tabs></w:pPr><w:hyperlink w:anchor="__RefHeading__24276_1557213427"><w:r><w:rPr><w:rStyle w:val="style34"/></w:rPr><w:t>Planteamiento del Problema</w:t><w:tab/><w:t>6</w:t></w:r></w:hyperlink></w:p><w:p><w:pPr><w:pStyle w:val="style47"/><w:tabs><w:tab w:leader="dot" w:pos="8491" w:val="right"/></w:tabs></w:pPr><w:hyperlink w:anchor="__RefHeading__24278_1557213427"><w:r><w:rPr><w:rStyle w:val="style34"/></w:rPr><w:t>Objetivos de la Investigación</w:t><w:tab/><w:t>6</w:t></w:r></w:hyperlink></w:p><w:p><w:pPr><w:pStyle w:val="style47"/><w:tabs><w:tab w:leader="dot" w:pos="8491" w:val="right"/></w:tabs></w:pPr><w:hyperlink w:anchor="__RefHeading__24280_1557213427"><w:r><w:rPr><w:rStyle w:val="style34"/></w:rPr><w:t>Justificación</w:t><w:tab/><w:t>6</w:t></w:r></w:hyperlink></w:p><w:p><w:pPr><w:pStyle w:val="style46"/><w:tabs><w:tab w:leader="dot" w:pos="8271" w:val="right"/></w:tabs></w:pPr><w:hyperlink w:anchor="__RefHeading__24282_1557213427"><w:r><w:rPr><w:rStyle w:val="style34"/></w:rPr><w:t>CAPÍTULO II</w:t><w:tab/><w:t>6</w:t></w:r></w:hyperlink></w:p><w:p><w:pPr><w:pStyle w:val="style46"/><w:tabs><w:tab w:leader="dot" w:pos="8271" w:val="right"/></w:tabs></w:pPr><w:hyperlink w:anchor="__RefHeading__24284_1557213427"><w:r><w:rPr><w:rStyle w:val="style34"/></w:rPr><w:t>MARCO TEÓRICO</w:t><w:tab/><w:t>6</w:t></w:r></w:hyperlink></w:p><w:p><w:pPr><w:pStyle w:val="style47"/><w:tabs><w:tab w:leader="dot" w:pos="8491" w:val="right"/></w:tabs></w:pPr><w:hyperlink w:anchor="__RefHeading__24286_1557213427"><w:r><w:rPr><w:rStyle w:val="style34"/></w:rPr><w:t>Bases Teóricas</w:t><w:tab/><w:t>7</w:t></w:r></w:hyperlink></w:p><w:p><w:pPr><w:pStyle w:val="style47"/><w:tabs><w:tab w:leader="dot" w:pos="8491" w:val="right"/></w:tabs></w:pPr><w:hyperlink w:anchor="__RefHeading__24288_1557213427"><w:r><w:rPr><w:rStyle w:val="style34"/></w:rPr><w:t>Definición de Términos</w:t><w:tab/><w:t>10</w:t></w:r></w:hyperlink></w:p><w:p><w:pPr><w:pStyle w:val="style46"/><w:tabs><w:tab w:leader="dot" w:pos="8271" w:val="right"/></w:tabs></w:pPr><w:hyperlink w:anchor="__RefHeading__24290_1557213427"><w:r><w:rPr><w:rStyle w:val="style34"/></w:rPr><w:t>CAPÍTULO III</w:t><w:tab/><w:t>11</w:t></w:r></w:hyperlink></w:p><w:p><w:pPr><w:pStyle w:val="style46"/><w:tabs><w:tab w:leader="dot" w:pos="8271" w:val="right"/></w:tabs></w:pPr><w:hyperlink w:anchor="__RefHeading__24292_1557213427"><w:r><w:rPr><w:rStyle w:val="style34"/></w:rPr><w:t>MARCO METODOLÓGICO</w:t><w:tab/><w:t>11</w:t></w:r></w:hyperlink></w:p><w:p><w:pPr><w:pStyle w:val="style47"/><w:tabs><w:tab w:leader="dot" w:pos="8491" w:val="right"/></w:tabs></w:pPr><w:hyperlink w:anchor="__RefHeading__24294_1557213427"><w:r><w:rPr><w:rStyle w:val="style34"/></w:rPr><w:t>Nivel de Investigación</w:t><w:tab/><w:t>11</w:t></w:r></w:hyperlink></w:p><w:p><w:pPr><w:pStyle w:val="style47"/><w:tabs><w:tab w:leader="dot" w:pos="8491" w:val="right"/></w:tabs></w:pPr><w:hyperlink w:anchor="__RefHeading__24296_1557213427"><w:r><w:rPr><w:rStyle w:val="style34"/></w:rPr><w:t>Diseño de Investigación</w:t><w:tab/><w:t>11</w:t></w:r></w:hyperlink></w:p><w:p><w:pPr><w:pStyle w:val="style47"/><w:tabs><w:tab w:leader="dot" w:pos="8491" w:val="right"/></w:tabs></w:pPr><w:hyperlink w:anchor="__RefHeading__24298_1557213427"><w:r><w:rPr><w:rStyle w:val="style34"/></w:rPr><w:t>Técnicas e Instrumentos de Recolección de Datos</w:t><w:tab/><w:t>11</w:t></w:r></w:hyperlink></w:p><w:p><w:pPr><w:pStyle w:val="style47"/><w:tabs><w:tab w:leader="dot" w:pos="8491" w:val="right"/></w:tabs></w:pPr><w:hyperlink w:anchor="__RefHeading__24300_1557213427"><w:r><w:rPr><w:rStyle w:val="style34"/></w:rPr><w:t>Población y Muestra</w:t><w:tab/><w:t>11</w:t></w:r></w:hyperlink></w:p><w:p><w:pPr><w:pStyle w:val="style47"/><w:tabs><w:tab w:leader="dot" w:pos="8491" w:val="right"/></w:tabs></w:pPr><w:hyperlink w:anchor="__RefHeading__24302_1557213427"><w:r><w:rPr><w:rStyle w:val="style34"/></w:rPr><w:t>Técnicas de Procesamiento y Análisis de Datos</w:t><w:tab/><w:t>11</w:t></w:r></w:hyperlink></w:p><w:p><w:pPr><w:pStyle w:val="style47"/><w:tabs><w:tab w:leader="dot" w:pos="8491" w:val="right"/></w:tabs></w:pPr><w:hyperlink w:anchor="__RefHeading__24304_1557213427"><w:r><w:rPr><w:rStyle w:val="style34"/></w:rPr><w:t xml:space="preserve">Validez y Confiabilidad </w:t><w:tab/><w:t>11</w:t></w:r></w:hyperlink></w:p><w:p><w:pPr><w:pStyle w:val="style47"/><w:tabs><w:tab w:leader="dot" w:pos="8491" w:val="right"/></w:tabs></w:pPr><w:hyperlink w:anchor="__RefHeading__24306_1557213427"><w:r><w:rPr><w:rStyle w:val="style34"/></w:rPr><w:t>Operacionalización de las Variables</w:t><w:tab/><w:t>12</w:t></w:r></w:hyperlink></w:p><w:p><w:pPr><w:pStyle w:val="style46"/><w:tabs><w:tab w:leader="dot" w:pos="8271" w:val="right"/></w:tabs></w:pPr><w:hyperlink w:anchor="__RefHeading__24308_1557213427"><w:r><w:rPr><w:rStyle w:val="style34"/></w:rPr><w:t>CAPÍTULO IV</w:t><w:tab/><w:t>12</w:t></w:r></w:hyperlink></w:p><w:p><w:pPr><w:pStyle w:val="style46"/><w:tabs><w:tab w:leader="dot" w:pos="8271" w:val="right"/></w:tabs></w:pPr><w:hyperlink w:anchor="__RefHeading__24310_1557213427"><w:r><w:rPr><w:rStyle w:val="style34"/></w:rPr><w:t>ANÁLISIS E INTERPRETACIÓN DE LOS RESULTADOS</w:t><w:tab/><w:t>12</w:t></w:r></w:hyperlink></w:p><w:p><w:pPr><w:pStyle w:val="style46"/><w:tabs><w:tab w:leader="dot" w:pos="8271" w:val="right"/></w:tabs></w:pPr><w:hyperlink w:anchor="__RefHeading__24312_1557213427"><w:r><w:rPr><w:rStyle w:val="style34"/></w:rPr><w:t xml:space="preserve">CONCLUSIONES </w:t><w:tab/><w:t>39</w:t></w:r></w:hyperlink></w:p><w:p><w:pPr><w:pStyle w:val="style46"/><w:tabs><w:tab w:leader="dot" w:pos="8271" w:val="right"/></w:tabs></w:pPr><w:hyperlink w:anchor="__RefHeading__24314_1557213427"><w:r><w:rPr><w:rStyle w:val="style34"/></w:rPr><w:t>LISTA DE REFERENCIAS</w:t><w:tab/><w:t>39</w:t></w:r><w:r><w:fldChar w:fldCharType="end"/></w:r></w:hyperlink></w:p><w:p><w:pPr><w:sectPr><w:type w:val="continuous"/><w:pgSz w:h="15840" w:w="12240"/><w:pgMar w:bottom="1049" w:footer="992" w:gutter="0" w:header="0" w:left="2268" w:right="1701" w:top="2268"/><w:formProt/><w:textDirection w:val="lrTb"/><w:docGrid w:charSpace="4096" w:linePitch="360" w:type="default"/></w:sectPr></w:pPr></w:p><w:p><w:pPr><w:pStyle w:val="style0"/><w:spacing w:after="144" w:before="60"/><w:jc w:val="center"/></w:pPr><w:hyperlink w:anchor="_Toc432365741"><w:r><w:rPr></w:rPr></w:r></w:hyperlink></w:p><w:p><w:pPr><w:pStyle w:val="style0"/><w:spacing w:after="144" w:before="60"/><w:jc w:val="center"/></w:pPr><w:r><w:rPr><w:rFonts w:ascii="Times New Roman" w:hAnsi="Times New Roman"/><w:sz w:val="24"/><w:szCs w:val="24"/></w:rPr></w:r></w:p><w:p><w:pPr><w:pStyle w:val="style0"/><w:spacing w:after="144" w:before="60"/><w:jc w:val="center"/></w:pPr><w:r><w:rPr><w:rFonts w:ascii="Times New Roman" w:hAnsi="Times New Roman"/><w:b/><w:sz w:val="24"/><w:szCs w:val="24"/></w:rPr><w:t>ÍNDICE DE FIGURAS</w:t></w:r></w:p><w:p><w:pPr><w:pStyle w:val="style0"/></w:pPr><w:r><w:rPr></w:rPr></w:r></w:p><w:p><w:pPr><w:pStyle w:val="style45"/><w:spacing w:after="144" w:before="60"/><w:jc w:val="both"/></w:pPr><w:r><w:rPr><w:rFonts w:ascii="Times New Roman" w:hAnsi="Times New Roman"/><w:b w:val="false"/><w:color w:val="00000A"/><w:sz w:val="24"/><w:szCs w:val="24"/></w:rPr><w:t>FIGURA No.                                                                                                              pp.</w:t></w:r></w:p><w:p><w:pPr><w:sectPr><w:type w:val="continuous"/><w:pgSz w:h="15840" w:w="12240"/><w:pgMar w:bottom="1049" w:footer="992" w:gutter="0" w:header="0" w:left="2268" w:right="1701" w:top="2268"/><w:pgNumType w:fmt="decimal"/><w:formProt w:val="false"/><w:textDirection w:val="lrTb"/><w:docGrid w:charSpace="4096" w:linePitch="360" w:type="default"/></w:sectPr></w:pPr></w:p><w:p><w:pPr><w:pStyle w:val="style46"/><w:tabs><w:tab w:leader="dot" w:pos="8271" w:val="right"/></w:tabs></w:pPr><w:r><w:fldChar w:fldCharType="begin"></w:fldChar></w:r><w:r><w:instrText> TOC </w:instrText></w:r><w:r><w:fldChar w:fldCharType="separate"/></w:r><w:hyperlink w:anchor="__RefHeading__24270_1557213427"><w:r><w:rPr><w:rStyle w:val="style34"/></w:rPr><w:t>INTRODUCCIÓN</w:t><w:tab/><w:t>5</w:t></w:r></w:hyperlink></w:p><w:p><w:pPr><w:pStyle w:val="style46"/><w:tabs><w:tab w:leader="dot" w:pos="8271" w:val="right"/></w:tabs></w:pPr><w:hyperlink w:anchor="__RefHeading__24272_1557213427"><w:r><w:rPr><w:rStyle w:val="style34"/></w:rPr><w:t>CAPITULO I</w:t><w:tab/><w:t>6</w:t></w:r></w:hyperlink></w:p><w:p><w:pPr><w:pStyle w:val="style46"/><w:tabs><w:tab w:leader="dot" w:pos="8271" w:val="right"/></w:tabs></w:pPr><w:hyperlink w:anchor="__RefHeading__24274_1557213427"><w:r><w:rPr><w:rStyle w:val="style34"/></w:rPr><w:t xml:space="preserve"> </w:t></w:r><w:r><w:rPr><w:rStyle w:val="style34"/></w:rPr><w:t>EL PROBLEMA</w:t><w:tab/><w:t>6</w:t></w:r></w:hyperlink></w:p><w:p><w:pPr><w:pStyle w:val="style47"/><w:tabs><w:tab w:leader="dot" w:pos="8491" w:val="right"/></w:tabs></w:pPr><w:hyperlink w:anchor="__RefHeading__24276_1557213427"><w:r><w:rPr><w:rStyle w:val="style34"/></w:rPr><w:t>Planteamiento del Problema</w:t><w:tab/><w:t>6</w:t></w:r></w:hyperlink></w:p><w:p><w:pPr><w:pStyle w:val="style47"/><w:tabs><w:tab w:leader="dot" w:pos="8491" w:val="right"/></w:tabs></w:pPr><w:hyperlink w:anchor="__RefHeading__24278_1557213427"><w:r><w:rPr><w:rStyle w:val="style34"/></w:rPr><w:t>Objetivos de la Investigación</w:t><w:tab/><w:t>6</w:t></w:r></w:hyperlink></w:p><w:p><w:pPr><w:pStyle w:val="style47"/><w:tabs><w:tab w:leader="dot" w:pos="8491" w:val="right"/></w:tabs></w:pPr><w:hyperlink w:anchor="__RefHeading__24280_1557213427"><w:r><w:rPr><w:rStyle w:val="style34"/></w:rPr><w:t>Justificación</w:t><w:tab/><w:t>6</w:t></w:r></w:hyperlink></w:p><w:p><w:pPr><w:pStyle w:val="style46"/><w:tabs><w:tab w:leader="dot" w:pos="8271" w:val="right"/></w:tabs></w:pPr><w:hyperlink w:anchor="__RefHeading__24282_1557213427"><w:r><w:rPr><w:rStyle w:val="style34"/></w:rPr><w:t>CAPÍTULO II</w:t><w:tab/><w:t>6</w:t></w:r></w:hyperlink></w:p><w:p><w:pPr><w:pStyle w:val="style46"/><w:tabs><w:tab w:leader="dot" w:pos="8271" w:val="right"/></w:tabs></w:pPr><w:hyperlink w:anchor="__RefHeading__24284_1557213427"><w:r><w:rPr><w:rStyle w:val="style34"/></w:rPr><w:t>MARCO TEÓRICO</w:t><w:tab/><w:t>6</w:t></w:r></w:hyperlink></w:p><w:p><w:pPr><w:pStyle w:val="style47"/><w:tabs><w:tab w:leader="dot" w:pos="8491" w:val="right"/></w:tabs></w:pPr><w:hyperlink w:anchor="__RefHeading__24286_1557213427"><w:r><w:rPr><w:rStyle w:val="style34"/></w:rPr><w:t>Bases Teóricas</w:t><w:tab/><w:t>7</w:t></w:r></w:hyperlink></w:p><w:p><w:pPr><w:pStyle w:val="style47"/><w:tabs><w:tab w:leader="dot" w:pos="8491" w:val="right"/></w:tabs></w:pPr><w:hyperlink w:anchor="__RefHeading__24288_1557213427"><w:r><w:rPr><w:rStyle w:val="style34"/></w:rPr><w:t>Definición de Términos</w:t><w:tab/><w:t>10</w:t></w:r></w:hyperlink></w:p><w:p><w:pPr><w:pStyle w:val="style46"/><w:tabs><w:tab w:leader="dot" w:pos="8271" w:val="right"/></w:tabs></w:pPr><w:hyperlink w:anchor="__RefHeading__24290_1557213427"><w:r><w:rPr><w:rStyle w:val="style34"/></w:rPr><w:t>CAPÍTULO III</w:t><w:tab/><w:t>11</w:t></w:r></w:hyperlink></w:p><w:p><w:pPr><w:pStyle w:val="style46"/><w:tabs><w:tab w:leader="dot" w:pos="8271" w:val="right"/></w:tabs></w:pPr><w:hyperlink w:anchor="__RefHeading__24292_1557213427"><w:r><w:rPr><w:rStyle w:val="style34"/></w:rPr><w:t>MARCO METODOLÓGICO</w:t><w:tab/><w:t>11</w:t></w:r></w:hyperlink></w:p><w:p><w:pPr><w:pStyle w:val="style47"/><w:tabs><w:tab w:leader="dot" w:pos="8491" w:val="right"/></w:tabs></w:pPr><w:hyperlink w:anchor="__RefHeading__24294_1557213427"><w:r><w:rPr><w:rStyle w:val="style34"/></w:rPr><w:t>Nivel de Investigación</w:t><w:tab/><w:t>11</w:t></w:r></w:hyperlink></w:p><w:p><w:pPr><w:pStyle w:val="style47"/><w:tabs><w:tab w:leader="dot" w:pos="8491" w:val="right"/></w:tabs></w:pPr><w:hyperlink w:anchor="__RefHeading__24296_1557213427"><w:r><w:rPr><w:rStyle w:val="style34"/></w:rPr><w:t>Diseño de Investigación</w:t><w:tab/><w:t>11</w:t></w:r></w:hyperlink></w:p><w:p><w:pPr><w:pStyle w:val="style47"/><w:tabs><w:tab w:leader="dot" w:pos="8491" w:val="right"/></w:tabs></w:pPr><w:hyperlink w:anchor="__RefHeading__24298_1557213427"><w:r><w:rPr><w:rStyle w:val="style34"/></w:rPr><w:t>Técnicas e Instrumentos de Recolección de Datos</w:t><w:tab/><w:t>11</w:t></w:r></w:hyperlink></w:p><w:p><w:pPr><w:pStyle w:val="style47"/><w:tabs><w:tab w:leader="dot" w:pos="8491" w:val="right"/></w:tabs></w:pPr><w:hyperlink w:anchor="__RefHeading__24300_1557213427"><w:r><w:rPr><w:rStyle w:val="style34"/></w:rPr><w:t>Población y Muestra</w:t><w:tab/><w:t>11</w:t></w:r></w:hyperlink></w:p><w:p><w:pPr><w:pStyle w:val="style47"/><w:tabs><w:tab w:leader="dot" w:pos="8491" w:val="right"/></w:tabs></w:pPr><w:hyperlink w:anchor="__RefHeading__24302_1557213427"><w:r><w:rPr><w:rStyle w:val="style34"/></w:rPr><w:t>Técnicas de Procesamiento y Análisis de Datos</w:t><w:tab/><w:t>11</w:t></w:r></w:hyperlink></w:p><w:p><w:pPr><w:pStyle w:val="style47"/><w:tabs><w:tab w:leader="dot" w:pos="8491" w:val="right"/></w:tabs></w:pPr><w:hyperlink w:anchor="__RefHeading__24304_1557213427"><w:r><w:rPr><w:rStyle w:val="style34"/></w:rPr><w:t xml:space="preserve">Validez y Confiabilidad </w:t><w:tab/><w:t>11</w:t></w:r></w:hyperlink></w:p><w:p><w:pPr><w:pStyle w:val="style47"/><w:tabs><w:tab w:leader="dot" w:pos="8491" w:val="right"/></w:tabs></w:pPr><w:hyperlink w:anchor="__RefHeading__24306_1557213427"><w:r><w:rPr><w:rStyle w:val="style34"/></w:rPr><w:t>Operacionalización de las Variables</w:t><w:tab/><w:t>12</w:t></w:r></w:hyperlink></w:p><w:p><w:pPr><w:pStyle w:val="style46"/><w:tabs><w:tab w:leader="dot" w:pos="8271" w:val="right"/></w:tabs></w:pPr><w:hyperlink w:anchor="__RefHeading__24308_1557213427"><w:r><w:rPr><w:rStyle w:val="style34"/></w:rPr><w:t>CAPÍTULO IV</w:t><w:tab/><w:t>12</w:t></w:r></w:hyperlink></w:p><w:p><w:pPr><w:pStyle w:val="style46"/><w:tabs><w:tab w:leader="dot" w:pos="8271" w:val="right"/></w:tabs></w:pPr><w:hyperlink w:anchor="__RefHeading__24310_1557213427"><w:r><w:rPr><w:rStyle w:val="style34"/></w:rPr><w:t>ANÁLISIS E INTERPRETACIÓN DE LOS RESULTADOS</w:t><w:tab/><w:t>12</w:t></w:r></w:hyperlink></w:p><w:p><w:pPr><w:pStyle w:val="style46"/><w:tabs><w:tab w:leader="dot" w:pos="8271" w:val="right"/></w:tabs></w:pPr><w:hyperlink w:anchor="__RefHeading__24312_1557213427"><w:r><w:rPr><w:rStyle w:val="style34"/></w:rPr><w:t xml:space="preserve">CONCLUSIONES </w:t><w:tab/><w:t>39</w:t></w:r></w:hyperlink></w:p><w:p><w:pPr><w:pStyle w:val="style46"/><w:tabs><w:tab w:leader="dot" w:pos="8271" w:val="right"/></w:tabs></w:pPr><w:hyperlink w:anchor="__RefHeading__24314_1557213427"><w:r><w:rPr><w:rStyle w:val="style34"/></w:rPr><w:t>LISTA DE REFERENCIAS</w:t><w:tab/><w:t>39</w:t></w:r><w:r><w:fldChar w:fldCharType="end"/></w:r></w:hyperlink></w:p><w:p><w:pPr><w:sectPr><w:type w:val="continuous"/><w:pgSz w:h="15840" w:w="12240"/><w:pgMar w:bottom="1049" w:footer="992" w:gutter="0" w:header="0" w:left="2268" w:right="1701" w:top="2268"/><w:formProt/><w:textDirection w:val="lrTb"/><w:docGrid w:charSpace="4096" w:linePitch="360" w:type="default"/></w:sectPr></w:pPr></w:p><w:p><w:pPr><w:pStyle w:val="style0"/></w:pPr><w:bookmarkStart w:id="0" w:name="_Toc432365742"/><w:bookmarkStart w:id="1" w:name="_Toc432365742"/><w:r><w:rPr><w:rFonts w:ascii="Times New Roman" w:hAnsi="Times New Roman"/><w:sz w:val="24"/><w:szCs w:val="24"/></w:rPr></w:r></w:p><w:p><w:pPr><w:pStyle w:val="style45"/><w:spacing w:after="144" w:before="60"/><w:jc w:val="center"/></w:pPr><w:r><w:rPr><w:rFonts w:ascii="Times New Roman" w:hAnsi="Times New Roman"/><w:color w:val="00000A"/><w:sz w:val="24"/><w:szCs w:val="24"/></w:rPr><w:t>ÍNDICE DE CUADROS</w:t></w:r></w:p><w:p><w:pPr><w:pStyle w:val="style0"/></w:pPr><w:r><w:rPr></w:rPr></w:r></w:p><w:p><w:pPr><w:pStyle w:val="style45"/><w:spacing w:after="144" w:before="60"/><w:jc w:val="both"/></w:pPr><w:r><w:rPr><w:rFonts w:ascii="Times New Roman" w:hAnsi="Times New Roman"/><w:b w:val="false"/><w:color w:val="00000A"/><w:sz w:val="24"/><w:szCs w:val="24"/></w:rPr><w:t>CUADRO No.                                                                                                           pp.</w:t></w:r></w:p><w:p><w:pPr><w:sectPr><w:type w:val="continuous"/><w:pgSz w:h="15840" w:w="12240"/><w:pgMar w:bottom="1049" w:footer="992" w:gutter="0" w:header="0" w:left="2268" w:right="1701" w:top="2268"/><w:pgNumType w:fmt="decimal"/><w:formProt w:val="false"/><w:textDirection w:val="lrTb"/><w:docGrid w:charSpace="4096" w:linePitch="360" w:type="default"/></w:sectPr></w:pPr></w:p><w:p><w:pPr><w:pStyle w:val="style46"/><w:tabs><w:tab w:leader="dot" w:pos="8271" w:val="right"/></w:tabs></w:pPr><w:r><w:fldChar w:fldCharType="begin"></w:fldChar></w:r><w:r><w:instrText> TOC </w:instrText></w:r><w:r><w:fldChar w:fldCharType="separate"/></w:r><w:hyperlink w:anchor="__RefHeading__24270_1557213427"><w:r><w:rPr><w:rStyle w:val="style34"/></w:rPr><w:t>INTRODUCCIÓN</w:t><w:tab/><w:t>5</w:t></w:r></w:hyperlink></w:p><w:p><w:pPr><w:pStyle w:val="style46"/><w:tabs><w:tab w:leader="dot" w:pos="8271" w:val="right"/></w:tabs></w:pPr><w:hyperlink w:anchor="__RefHeading__24272_1557213427"><w:r><w:rPr><w:rStyle w:val="style34"/></w:rPr><w:t>CAPITULO I</w:t><w:tab/><w:t>6</w:t></w:r></w:hyperlink></w:p><w:p><w:pPr><w:pStyle w:val="style46"/><w:tabs><w:tab w:leader="dot" w:pos="8271" w:val="right"/></w:tabs></w:pPr><w:hyperlink w:anchor="__RefHeading__24274_1557213427"><w:r><w:rPr><w:rStyle w:val="style34"/></w:rPr><w:t xml:space="preserve"> </w:t></w:r><w:r><w:rPr><w:rStyle w:val="style34"/></w:rPr><w:t>EL PROBLEMA</w:t><w:tab/><w:t>6</w:t></w:r></w:hyperlink></w:p><w:p><w:pPr><w:pStyle w:val="style47"/><w:tabs><w:tab w:leader="dot" w:pos="8491" w:val="right"/></w:tabs></w:pPr><w:hyperlink w:anchor="__RefHeading__24276_1557213427"><w:r><w:rPr><w:rStyle w:val="style34"/></w:rPr><w:t>Planteamiento del Problema</w:t><w:tab/><w:t>6</w:t></w:r></w:hyperlink></w:p><w:p><w:pPr><w:pStyle w:val="style47"/><w:tabs><w:tab w:leader="dot" w:pos="8491" w:val="right"/></w:tabs></w:pPr><w:hyperlink w:anchor="__RefHeading__24278_1557213427"><w:r><w:rPr><w:rStyle w:val="style34"/></w:rPr><w:t>Objetivos de la Investigación</w:t><w:tab/><w:t>6</w:t></w:r></w:hyperlink></w:p><w:p><w:pPr><w:pStyle w:val="style47"/><w:tabs><w:tab w:leader="dot" w:pos="8491" w:val="right"/></w:tabs></w:pPr><w:hyperlink w:anchor="__RefHeading__24280_1557213427"><w:r><w:rPr><w:rStyle w:val="style34"/></w:rPr><w:t>Justificación</w:t><w:tab/><w:t>6</w:t></w:r></w:hyperlink></w:p><w:p><w:pPr><w:pStyle w:val="style46"/><w:tabs><w:tab w:leader="dot" w:pos="8271" w:val="right"/></w:tabs></w:pPr><w:hyperlink w:anchor="__RefHeading__24282_1557213427"><w:r><w:rPr><w:rStyle w:val="style34"/></w:rPr><w:t>CAPÍTULO II</w:t><w:tab/><w:t>6</w:t></w:r></w:hyperlink></w:p><w:p><w:pPr><w:pStyle w:val="style46"/><w:tabs><w:tab w:leader="dot" w:pos="8271" w:val="right"/></w:tabs></w:pPr><w:hyperlink w:anchor="__RefHeading__24284_1557213427"><w:r><w:rPr><w:rStyle w:val="style34"/></w:rPr><w:t>MARCO TEÓRICO</w:t><w:tab/><w:t>6</w:t></w:r></w:hyperlink></w:p><w:p><w:pPr><w:pStyle w:val="style47"/><w:tabs><w:tab w:leader="dot" w:pos="8491" w:val="right"/></w:tabs></w:pPr><w:hyperlink w:anchor="__RefHeading__24286_1557213427"><w:r><w:rPr><w:rStyle w:val="style34"/></w:rPr><w:t>Bases Teóricas</w:t><w:tab/><w:t>7</w:t></w:r></w:hyperlink></w:p><w:p><w:pPr><w:pStyle w:val="style47"/><w:tabs><w:tab w:leader="dot" w:pos="8491" w:val="right"/></w:tabs></w:pPr><w:hyperlink w:anchor="__RefHeading__24288_1557213427"><w:r><w:rPr><w:rStyle w:val="style34"/></w:rPr><w:t>Definición de Términos</w:t><w:tab/><w:t>10</w:t></w:r></w:hyperlink></w:p><w:p><w:pPr><w:pStyle w:val="style46"/><w:tabs><w:tab w:leader="dot" w:pos="8271" w:val="right"/></w:tabs></w:pPr><w:hyperlink w:anchor="__RefHeading__24290_1557213427"><w:r><w:rPr><w:rStyle w:val="style34"/></w:rPr><w:t>CAPÍTULO III</w:t><w:tab/><w:t>11</w:t></w:r></w:hyperlink></w:p><w:p><w:pPr><w:pStyle w:val="style46"/><w:tabs><w:tab w:leader="dot" w:pos="8271" w:val="right"/></w:tabs></w:pPr><w:hyperlink w:anchor="__RefHeading__24292_1557213427"><w:r><w:rPr><w:rStyle w:val="style34"/></w:rPr><w:t>MARCO METODOLÓGICO</w:t><w:tab/><w:t>11</w:t></w:r></w:hyperlink></w:p><w:p><w:pPr><w:pStyle w:val="style47"/><w:tabs><w:tab w:leader="dot" w:pos="8491" w:val="right"/></w:tabs></w:pPr><w:hyperlink w:anchor="__RefHeading__24294_1557213427"><w:r><w:rPr><w:rStyle w:val="style34"/></w:rPr><w:t>Nivel de Investigación</w:t><w:tab/><w:t>11</w:t></w:r></w:hyperlink></w:p><w:p><w:pPr><w:pStyle w:val="style47"/><w:tabs><w:tab w:leader="dot" w:pos="8491" w:val="right"/></w:tabs></w:pPr><w:hyperlink w:anchor="__RefHeading__24296_1557213427"><w:r><w:rPr><w:rStyle w:val="style34"/></w:rPr><w:t>Diseño de Investigación</w:t><w:tab/><w:t>11</w:t></w:r></w:hyperlink></w:p><w:p><w:pPr><w:pStyle w:val="style47"/><w:tabs><w:tab w:leader="dot" w:pos="8491" w:val="right"/></w:tabs></w:pPr><w:hyperlink w:anchor="__RefHeading__24298_1557213427"><w:r><w:rPr><w:rStyle w:val="style34"/></w:rPr><w:t>Técnicas e Instrumentos de Recolección de Datos</w:t><w:tab/><w:t>11</w:t></w:r></w:hyperlink></w:p><w:p><w:pPr><w:pStyle w:val="style47"/><w:tabs><w:tab w:leader="dot" w:pos="8491" w:val="right"/></w:tabs></w:pPr><w:hyperlink w:anchor="__RefHeading__24300_1557213427"><w:r><w:rPr><w:rStyle w:val="style34"/></w:rPr><w:t>Población y Muestra</w:t><w:tab/><w:t>11</w:t></w:r></w:hyperlink></w:p><w:p><w:pPr><w:pStyle w:val="style47"/><w:tabs><w:tab w:leader="dot" w:pos="8491" w:val="right"/></w:tabs></w:pPr><w:hyperlink w:anchor="__RefHeading__24302_1557213427"><w:r><w:rPr><w:rStyle w:val="style34"/></w:rPr><w:t>Técnicas de Procesamiento y Análisis de Datos</w:t><w:tab/><w:t>11</w:t></w:r></w:hyperlink></w:p><w:p><w:pPr><w:pStyle w:val="style47"/><w:tabs><w:tab w:leader="dot" w:pos="8491" w:val="right"/></w:tabs></w:pPr><w:hyperlink w:anchor="__RefHeading__24304_1557213427"><w:r><w:rPr><w:rStyle w:val="style34"/></w:rPr><w:t xml:space="preserve">Validez y Confiabilidad </w:t><w:tab/><w:t>11</w:t></w:r></w:hyperlink></w:p><w:p><w:pPr><w:pStyle w:val="style47"/><w:tabs><w:tab w:leader="dot" w:pos="8491" w:val="right"/></w:tabs></w:pPr><w:hyperlink w:anchor="__RefHeading__24306_1557213427"><w:r><w:rPr><w:rStyle w:val="style34"/></w:rPr><w:t>Operacionalización de las Variables</w:t><w:tab/><w:t>12</w:t></w:r></w:hyperlink></w:p><w:p><w:pPr><w:pStyle w:val="style46"/><w:tabs><w:tab w:leader="dot" w:pos="8271" w:val="right"/></w:tabs></w:pPr><w:hyperlink w:anchor="__RefHeading__24308_1557213427"><w:r><w:rPr><w:rStyle w:val="style34"/></w:rPr><w:t>CAPÍTULO IV</w:t><w:tab/><w:t>12</w:t></w:r></w:hyperlink></w:p><w:p><w:pPr><w:pStyle w:val="style46"/><w:tabs><w:tab w:leader="dot" w:pos="8271" w:val="right"/></w:tabs></w:pPr><w:hyperlink w:anchor="__RefHeading__24310_1557213427"><w:r><w:rPr><w:rStyle w:val="style34"/></w:rPr><w:t>ANÁLISIS E INTERPRETACIÓN DE LOS RESULTADOS</w:t><w:tab/><w:t>12</w:t></w:r></w:hyperlink></w:p><w:p><w:pPr><w:pStyle w:val="style46"/><w:tabs><w:tab w:leader="dot" w:pos="8271" w:val="right"/></w:tabs></w:pPr><w:hyperlink w:anchor="__RefHeading__24312_1557213427"><w:r><w:rPr><w:rStyle w:val="style34"/></w:rPr><w:t xml:space="preserve">CONCLUSIONES </w:t><w:tab/><w:t>39</w:t></w:r></w:hyperlink></w:p><w:p><w:pPr><w:pStyle w:val="style46"/><w:tabs><w:tab w:leader="dot" w:pos="8271" w:val="right"/></w:tabs></w:pPr><w:hyperlink w:anchor="__RefHeading__24314_1557213427"><w:r><w:rPr><w:rStyle w:val="style34"/></w:rPr><w:t>LISTA DE REFERENCIAS</w:t><w:tab/><w:t>39</w:t></w:r><w:r><w:fldChar w:fldCharType="end"/></w:r></w:hyperlink></w:p><w:p><w:pPr><w:sectPr><w:type w:val="continuous"/><w:pgSz w:h="15840" w:w="12240"/><w:pgMar w:bottom="1049" w:footer="992" w:gutter="0" w:header="0" w:left="2268" w:right="1701" w:top="2268"/><w:formProt/><w:textDirection w:val="lrTb"/><w:docGrid w:charSpace="4096" w:linePitch="360" w:type="default"/></w:sectPr></w:pPr></w:p><w:p><w:pPr><w:pStyle w:val="style45"/><w:spacing w:after="144" w:before="60"/><w:jc w:val="center"/></w:pPr><w:r><w:rPr><w:rFonts w:ascii="Times New Roman" w:hAnsi="Times New Roman"/><w:color w:val="00000A"/><w:sz w:val="24"/><w:szCs w:val="24"/></w:rPr><w:t>ÍNDICE DE GRÁFICOS</w:t></w:r></w:p><w:p><w:pPr><w:pStyle w:val="style0"/></w:pPr><w:r><w:rPr></w:rPr></w:r></w:p><w:p><w:pPr><w:sectPr><w:type w:val="continuous"/><w:pgSz w:h="15840" w:w="12240"/><w:pgMar w:bottom="1049" w:footer="992" w:gutter="0" w:header="0" w:left="2268" w:right="1701" w:top="2268"/><w:pgNumType w:fmt="decimal"/><w:formProt w:val="false"/><w:textDirection w:val="lrTb"/><w:docGrid w:charSpace="4096" w:linePitch="360" w:type="default"/></w:sectPr></w:pPr></w:p><w:p><w:pPr><w:pStyle w:val="style36"/></w:pPr><w:r><w:fldChar w:fldCharType="begin"></w:fldChar></w:r><w:r><w:instrText> TOC \c &quot;&quot; </w:instrText></w:r><w:r><w:fldChar w:fldCharType="separate"/></w:r><w:r><w:rPr></w:rPr></w:r><w:r><w:fldChar w:fldCharType="end"/></w:r></w:p><w:p><w:pPr><w:sectPr><w:type w:val="continuous"/><w:pgSz w:h="15840" w:w="12240"/><w:pgMar w:bottom="1049" w:footer="992" w:gutter="0" w:header="0" w:left="2268" w:right="1701" w:top="2268"/><w:formProt/><w:textDirection w:val="lrTb"/><w:docGrid w:charSpace="4096" w:linePitch="360" w:type="default"/></w:sectPr></w:pPr></w:p><w:p><w:pPr><w:pStyle w:val="style0"/></w:pPr><w:r><w:fldChar w:fldCharType="begin"></w:fldChar></w:r><w:r><w:instrText> HYPERLINK &quot;file:///C:\Users\vicky_000\Dropbox\ECON. VICTORIA BELLO\TESIS VICTORIA BELLO 1ERAS CORRECCIONES DANIEL RUMBOS 08-10.docx&quot; \l &quot;_Toc432364906&quot;</w:instrText></w:r><w:r><w:fldChar w:fldCharType="separate"/></w:r><w:bookmarkStart w:id="2" w:name="_Toc297879220"/><w:bookmarkStart w:id="3" w:name="_Toc297879220"/><w:bookmarkEnd w:id="3"/><w:r><w:rPr></w:rPr></w:r><w:r><w:fldChar w:fldCharType="end"/></w:r></w:hyperlink></w:p><w:p><w:pPr><w:pStyle w:val="style1"/><w:spacing w:after="720" w:before="240" w:line="100" w:lineRule="atLeast"/><w:jc w:val="center"/></w:pPr><w:bookmarkStart w:id="4" w:name="__RefHeading__24270_1557213427"/><w:bookmarkStart w:id="5" w:name="_Toc432365741"/><w:bookmarkEnd w:id="4"/><w:bookmarkEnd w:id="5"/><w:r><w:rPr><w:rFonts w:ascii="Times New Roman" w:hAnsi="Times New Roman"/><w:sz w:val="24"/><w:szCs w:val="24"/></w:rPr><w:t>INTRODUCCIÓN</w:t></w:r></w:p><w:p><w:pPr><w:pStyle w:val="style0"/><w:spacing w:after="720" w:before="0" w:line="360" w:lineRule="auto"/><w:jc w:val="both"/></w:pPr><w:r><w:rPr><w:rFonts w:ascii="Times New Roman" w:hAnsi="Times New Roman"/><w:color w:val="000000"/><w:sz w:val="24"/><w:szCs w:val="24"/><w:lang w:eastAsia="es-VE" w:val="es-VE"/></w:rPr><w:t xml:space="preserve">     </w:t></w:r><w:r><w:rPr><w:rFonts w:ascii="Times New Roman" w:hAnsi="Times New Roman"/><w:color w:val="000000"/><w:sz w:val="24"/><w:szCs w:val="24"/><w:lang w:eastAsia="es-VE" w:val="es-VE"/></w:rPr><w:t>La economía de las empresas ha venido evolucionando a través del tiempo. El manejo ortodoxo a nivel administrativo, financiero e inclusivo del entorno, no se adapta al modelo de empresa moderna. Por lo tanto, los responsables gerenciales buscan  la aplicación de nuevos y eficientes modelos de gestión que le permitan a las empresas medir su desempeño, así como obtener resultados operacionales y financieros sostenibles en el tiempo.</w:t></w:r></w:p><w:p><w:pPr><w:pStyle w:val="style0"/><w:spacing w:after="720" w:before="0" w:line="360" w:lineRule="auto"/><w:jc w:val="both"/></w:pPr><w:r><w:rPr><w:rFonts w:ascii="Times New Roman" w:hAnsi="Times New Roman"/><w:color w:val="000000"/><w:sz w:val="24"/><w:szCs w:val="24"/><w:lang w:eastAsia="es-VE" w:val="es-VE"/></w:rPr><w:t xml:space="preserve">     </w:t></w:r><w:r><w:rPr><w:rFonts w:ascii="Times New Roman" w:hAnsi="Times New Roman"/><w:color w:val="000000"/><w:sz w:val="24"/><w:szCs w:val="24"/><w:lang w:eastAsia="es-VE" w:val="es-VE"/></w:rPr><w:t>En este sentido, el Cuadro de Mando Integral (</w:t></w:r><w:r><w:rPr><w:rFonts w:ascii="Times New Roman" w:hAnsi="Times New Roman"/><w:i/><w:color w:val="000000"/><w:sz w:val="24"/><w:szCs w:val="24"/><w:lang w:eastAsia="es-VE" w:val="es-VE"/></w:rPr><w:t>Balanced Score Card</w:t></w:r><w:r><w:rPr><w:rFonts w:ascii="Times New Roman" w:hAnsi="Times New Roman"/><w:color w:val="000000"/><w:sz w:val="24"/><w:szCs w:val="24"/><w:lang w:eastAsia="es-VE" w:val="es-VE"/></w:rPr><w:t xml:space="preserve">) es un modelo que le permite a las organizaciones, por un lado, identificar las estrategias que se deben seguir para alcanzar la visión y por el otro, expresar las identificadas en objetivos, cuyo logro sea medido a través de un conjunto de indicadores (financieros y no financieros) en un proceso para adaptarse a las exigencia del mundo dinámico y cambiante actual.  </w:t></w:r></w:p><w:p><w:pPr><w:pStyle w:val="style0"/><w:spacing w:after="720" w:before="0" w:line="360" w:lineRule="auto"/><w:jc w:val="both"/></w:pPr><w:r><w:rPr><w:rFonts w:ascii="Times New Roman" w:hAnsi="Times New Roman"/><w:color w:val="000000"/><w:sz w:val="24"/><w:szCs w:val="24"/><w:lang w:eastAsia="es-VE" w:val="es-VE"/></w:rPr><w:t xml:space="preserve">     </w:t></w:r><w:r><w:rPr><w:rFonts w:ascii="Times New Roman" w:hAnsi="Times New Roman"/><w:color w:val="000000"/><w:sz w:val="24"/><w:szCs w:val="24"/><w:lang w:eastAsia="es-VE" w:val="es-VE"/></w:rPr><w:t xml:space="preserve">El Frigorífico Industrial Carabobo (FRINCA), es una empresa que se encarga de prestar el servicio de “beneficio” de reses bovinas y porcinas, como principal actividad; igualmente se encarga de la comercialización de los subproductos derivados. Sin embargo, ha venido presentando deficiencias </w:t></w:r><w:r><w:rPr><w:rFonts w:ascii="Times New Roman" w:hAnsi="Times New Roman"/><w:sz w:val="24"/><w:szCs w:val="24"/><w:lang w:eastAsia="es-VE" w:val="es-VE"/></w:rPr><w:t xml:space="preserve">en los resultados financieros, esto visto desde la evaluación a sus estados financieros históricos. </w:t></w:r></w:p><w:p><w:pPr><w:pStyle w:val="style0"/><w:spacing w:after="0" w:before="0" w:line="360" w:lineRule="auto"/><w:jc w:val="both"/></w:pPr><w:r><w:rPr><w:rFonts w:ascii="Times New Roman" w:hAnsi="Times New Roman"/><w:color w:val="000000"/><w:sz w:val="24"/><w:szCs w:val="24"/><w:lang w:eastAsia="es-VE" w:val="es-VE"/></w:rPr><w:t xml:space="preserve">     </w:t></w:r><w:r><w:rPr><w:rFonts w:ascii="Times New Roman" w:hAnsi="Times New Roman"/><w:color w:val="000000"/><w:sz w:val="24"/><w:szCs w:val="24"/><w:lang w:eastAsia="es-VE" w:val="es-VE"/></w:rPr><w:t xml:space="preserve">La finalidad de esta investigación, consiste en proponer un modelo de planificación financiera basado en el </w:t></w:r><w:r><w:rPr><w:rFonts w:ascii="Times New Roman" w:hAnsi="Times New Roman"/><w:i/><w:color w:val="000000"/><w:sz w:val="24"/><w:szCs w:val="24"/><w:lang w:eastAsia="es-VE" w:val="es-VE"/></w:rPr><w:t>Balanced Scorecard</w:t></w:r><w:r><w:rPr><w:rFonts w:ascii="Times New Roman" w:hAnsi="Times New Roman"/><w:color w:val="000000"/><w:sz w:val="24"/><w:szCs w:val="24"/><w:lang w:eastAsia="es-VE" w:val="es-VE"/></w:rPr><w:t xml:space="preserve"> para la maximización de beneficios.</w:t></w:r></w:p><w:p><w:pPr><w:pStyle w:val="style0"/><w:spacing w:after="0" w:before="0" w:line="360" w:lineRule="auto"/><w:jc w:val="both"/></w:pPr><w:r><w:rPr><w:rFonts w:ascii="Times New Roman" w:hAnsi="Times New Roman"/><w:color w:val="000000"/><w:sz w:val="24"/><w:szCs w:val="24"/><w:lang w:eastAsia="es-VE" w:val="es-VE"/></w:rPr></w:r></w:p><w:p><w:pPr><w:pStyle w:val="style0"/><w:spacing w:after="0" w:before="0" w:line="360" w:lineRule="auto"/><w:jc w:val="both"/></w:pPr><w:r><w:rPr><w:rFonts w:ascii="Times New Roman" w:hAnsi="Times New Roman"/><w:color w:val="000000"/><w:sz w:val="24"/><w:szCs w:val="24"/><w:lang w:eastAsia="es-VE" w:val="es-VE"/></w:rPr></w:r></w:p><w:p><w:pPr><w:pStyle w:val="style44"/></w:pPr><w:r><w:rPr></w:rPr></w:r></w:p><w:p><w:pPr><w:sectPr><w:type w:val="continuous"/><w:pgSz w:h="15840" w:w="12240"/><w:pgMar w:bottom="1049" w:footer="992" w:gutter="0" w:header="0" w:left="2268" w:right="1701" w:top="2268"/><w:pgNumType w:fmt="decimal"/><w:formProt w:val="false"/><w:textDirection w:val="lrTb"/><w:docGrid w:charSpace="4096" w:linePitch="360" w:type="default"/></w:sectPr></w:pPr></w:p><w:p><w:pPr><w:pStyle w:val="style0"/><w:spacing w:after="720" w:before="0" w:line="100" w:lineRule="atLeast"/><w:jc w:val="both"/></w:pPr><w:r><w:rPr><w:rFonts w:ascii="Times New Roman" w:hAnsi="Times New Roman"/><w:color w:val="000000"/><w:sz w:val="24"/><w:szCs w:val="24"/><w:lang w:eastAsia="es-VE" w:val="es-VE"/></w:rPr><w:t xml:space="preserve">     </w:t></w:r><w:r><w:rPr><w:rFonts w:ascii="Times New Roman" w:hAnsi="Times New Roman"/><w:color w:val="000000"/><w:sz w:val="24"/><w:szCs w:val="24"/><w:lang w:eastAsia="es-VE" w:val="es-VE"/></w:rPr><w:t xml:space="preserve">Para ello, se desarrollan  cuatro (4) capítulos, estructurados de la siguiente manera: </w:t></w:r></w:p><w:p><w:pPr><w:pStyle w:val="style0"/><w:spacing w:after="720" w:before="0" w:line="360" w:lineRule="auto"/><w:jc w:val="both"/></w:pPr><w:r><w:rPr><w:rFonts w:ascii="Times New Roman" w:hAnsi="Times New Roman"/><w:color w:val="000000"/><w:sz w:val="24"/><w:szCs w:val="24"/><w:lang w:eastAsia="es-VE" w:val="es-VE"/></w:rPr><w:t xml:space="preserve">     </w:t></w:r><w:r><w:rPr><w:rFonts w:ascii="Times New Roman" w:hAnsi="Times New Roman"/><w:color w:val="000000"/><w:sz w:val="24"/><w:szCs w:val="24"/><w:lang w:eastAsia="es-VE" w:val="es-VE"/></w:rPr><w:t xml:space="preserve">El Capítulo I se compone por el planteamiento del problema y formulación, los cuales enmarcan la investigación, dándole orientación en función de lo que se quiere lograr, a través del desarrollo de los objetivos de la investigación, liderizado por un (01) objetivo general  y tres (03) objetivos específicos, y finalmente presentando la justificación del problema el cual refiere a los lineamientos de investigación. </w:t></w:r></w:p><w:p><w:pPr><w:pStyle w:val="style0"/><w:spacing w:after="720" w:before="0" w:line="360" w:lineRule="auto"/><w:jc w:val="both"/></w:pPr><w:r><w:rPr><w:rFonts w:ascii="Times New Roman" w:hAnsi="Times New Roman"/><w:color w:val="000000"/><w:sz w:val="24"/><w:szCs w:val="24"/><w:lang w:eastAsia="es-VE" w:val="es-VE"/></w:rPr><w:t xml:space="preserve">     </w:t></w:r><w:r><w:rPr><w:rFonts w:ascii="Times New Roman" w:hAnsi="Times New Roman"/><w:color w:val="000000"/><w:sz w:val="24"/><w:szCs w:val="24"/><w:lang w:eastAsia="es-VE" w:val="es-VE"/></w:rPr><w:t xml:space="preserve">Por su parte el Capítulo II, está constituido por el marco teórico, conformado </w:t></w:r><w:r><w:rPr><w:rFonts w:ascii="Times New Roman" w:hAnsi="Times New Roman"/><w:sz w:val="24"/><w:szCs w:val="24"/><w:lang w:eastAsia="es-VE" w:val="es-VE"/></w:rPr><w:t xml:space="preserve"> </w:t></w:r><w:r><w:rPr><w:rFonts w:ascii="Times New Roman" w:hAnsi="Times New Roman"/><w:color w:val="000000"/><w:sz w:val="24"/><w:szCs w:val="24"/><w:lang w:eastAsia="es-VE" w:val="es-VE"/></w:rPr><w:t xml:space="preserve">por los antecedentes, bases teóricas y definición de términos básicos. Este capítulo es referencial de las teorías en las cuales se enmarca esta investigación con el fin de darle una base teórica a la propuesta planteada, en función a investigaciones realizadas sobre el tema. </w:t></w:r></w:p><w:p><w:pPr><w:pStyle w:val="style0"/><w:spacing w:after="720" w:before="0" w:line="360" w:lineRule="auto"/><w:jc w:val="both"/></w:pPr><w:r><w:rPr><w:rFonts w:ascii="Times New Roman" w:hAnsi="Times New Roman"/><w:color w:val="000000"/><w:sz w:val="24"/><w:szCs w:val="24"/><w:lang w:eastAsia="es-VE" w:val="es-VE"/></w:rPr><w:t xml:space="preserve">     </w:t></w:r><w:r><w:rPr><w:rFonts w:ascii="Times New Roman" w:hAnsi="Times New Roman"/><w:color w:val="000000"/><w:sz w:val="24"/><w:szCs w:val="24"/><w:lang w:eastAsia="es-VE" w:val="es-VE"/></w:rPr><w:t xml:space="preserve">Seguidamente el Capítulo III, conformado por el marco metodológico, que contiene el nivel y diseño de la investigación, técnicas e instrumentos de recolección de datos y cuadro técnico metodológico, el cual refiere la metodología utilizada para la obtención de los resultados expresados al final de la investigación. </w:t></w:r></w:p><w:p><w:pPr><w:pStyle w:val="style0"/><w:spacing w:after="720" w:before="0" w:line="360" w:lineRule="auto"/><w:jc w:val="both"/></w:pPr><w:r><w:rPr><w:rFonts w:ascii="Times New Roman" w:hAnsi="Times New Roman"/><w:color w:val="000000"/><w:sz w:val="24"/><w:szCs w:val="24"/><w:lang w:eastAsia="es-VE" w:val="es-VE"/></w:rPr><w:t xml:space="preserve">     </w:t></w:r><w:r><w:rPr><w:rFonts w:ascii="Times New Roman" w:hAnsi="Times New Roman"/><w:color w:val="000000"/><w:sz w:val="24"/><w:szCs w:val="24"/><w:lang w:eastAsia="es-VE" w:val="es-VE"/></w:rPr><w:t>Finalmente el Capítulo IV, en la cual se presentan los resultados obtenidos. Básicamente siendo el punto donde se desarrollan los objetivos específicos. Seguido de las conclusiones y recomendaciones de la investigación.</w:t></w:r></w:p><w:p><w:pPr><w:pStyle w:val="style0"/><w:spacing w:after="720" w:before="0" w:line="360" w:lineRule="auto"/><w:jc w:val="both"/></w:pPr><w:r><w:rPr><w:rFonts w:ascii="Times New Roman" w:hAnsi="Times New Roman"/><w:color w:val="000000"/><w:sz w:val="24"/><w:szCs w:val="24"/><w:lang w:eastAsia="es-VE" w:val="es-VE"/></w:rPr></w:r></w:p><w:p><w:pPr><w:pStyle w:val="style1"/><w:spacing w:after="0" w:before="0" w:line="360" w:lineRule="auto"/><w:jc w:val="center"/></w:pPr><w:bookmarkStart w:id="6" w:name="_Toc323927323"/><w:bookmarkStart w:id="7" w:name="_Toc323927105"/><w:bookmarkStart w:id="8" w:name="_Toc323926888"/><w:bookmarkStart w:id="9" w:name="_Toc297880072"/><w:bookmarkStart w:id="10" w:name="Bookmark"/><w:bookmarkStart w:id="11" w:name="_Toc323927323"/><w:bookmarkStart w:id="12" w:name="_Toc323927105"/><w:bookmarkStart w:id="13" w:name="_Toc323926888"/><w:bookmarkStart w:id="14" w:name="_Toc297880072"/><w:bookmarkStart w:id="15" w:name="Bookmark"/><w:r><w:rPr><w:rFonts w:ascii="Times New Roman" w:hAnsi="Times New Roman"/><w:sz w:val="24"/><w:szCs w:val="24"/><w:shd w:fill="FFFF00" w:val="clear"/><w:lang w:val="es-ES"/></w:rPr></w:r></w:p><w:p><w:pPr><w:pStyle w:val="style1"/><w:spacing w:after="0" w:before="0" w:line="360" w:lineRule="auto"/><w:jc w:val="center"/></w:pPr><w:bookmarkStart w:id="16" w:name="_Toc432365742"/><w:bookmarkStart w:id="17" w:name="_Toc323927323"/><w:bookmarkStart w:id="18" w:name="_Toc323927105"/><w:bookmarkStart w:id="19" w:name="_Toc323926888"/><w:bookmarkStart w:id="20" w:name="_Toc297880072"/><w:bookmarkStart w:id="21" w:name="Bookmark"/><w:bookmarkStart w:id="22" w:name="__RefHeading__24272_1557213427"/><w:bookmarkStart w:id="23" w:name="_Toc323928040"/><w:bookmarkEnd w:id="22"/><w:bookmarkEnd w:id="16"/><w:bookmarkEnd w:id="17"/><w:bookmarkEnd w:id="18"/><w:bookmarkEnd w:id="19"/><w:bookmarkEnd w:id="20"/><w:bookmarkEnd w:id="21"/><w:bookmarkEnd w:id="23"/><w:r><w:rPr><w:rFonts w:ascii="Times New Roman" w:hAnsi="Times New Roman"/><w:sz w:val="24"/><w:szCs w:val="24"/><w:lang w:val="es-ES"/></w:rPr><w:t>CAPITULO I</w:t></w:r></w:p><w:p><w:pPr><w:pStyle w:val="style1"/><w:spacing w:after="0" w:before="0" w:line="360" w:lineRule="auto"/><w:jc w:val="center"/></w:pPr><w:bookmarkStart w:id="24" w:name="__RefHeading__24274_1557213427"/><w:bookmarkEnd w:id="24"/><w:r><w:rPr><w:rFonts w:ascii="Times New Roman" w:hAnsi="Times New Roman"/><w:sz w:val="24"/><w:szCs w:val="24"/><w:lang w:val="es-ES"/></w:rPr><w:t xml:space="preserve"> </w:t></w:r><w:bookmarkStart w:id="25" w:name="_Toc323928041"/><w:bookmarkStart w:id="26" w:name="_Toc323927324"/><w:bookmarkStart w:id="27" w:name="_Toc323927106"/><w:bookmarkStart w:id="28" w:name="_Toc323926889"/><w:bookmarkStart w:id="29" w:name="_Toc297879221"/><w:bookmarkStart w:id="30" w:name="_Toc432365743"/><w:bookmarkEnd w:id="25"/><w:bookmarkEnd w:id="26"/><w:bookmarkEnd w:id="27"/><w:bookmarkEnd w:id="28"/><w:bookmarkEnd w:id="29"/><w:bookmarkEnd w:id="30"/><w:r><w:rPr><w:rFonts w:ascii="Times New Roman" w:hAnsi="Times New Roman"/><w:sz w:val="24"/><w:szCs w:val="24"/><w:lang w:val="es-ES"/></w:rPr><w:t>EL PROBLEMA</w:t></w:r></w:p><w:p><w:pPr><w:pStyle w:val="style0"/></w:pPr><w:r><w:rPr><w:shd w:fill="FFFF00" w:val="clear"/><w:lang w:val="es-ES"/></w:rPr></w:r></w:p><w:p><w:pPr><w:pStyle w:val="style0"/></w:pPr><w:r><w:rPr><w:shd w:fill="FFFF00" w:val="clear"/><w:lang w:val="es-ES"/></w:rPr></w:r></w:p><w:p><w:pPr><w:pStyle w:val="style2"/><w:numPr><w:ilvl w:val="1"/><w:numId w:val="1"/></w:numPr><w:spacing w:after="0" w:before="0" w:line="360" w:lineRule="auto"/></w:pPr><w:bookmarkStart w:id="31" w:name="__RefHeading__24276_1557213427"/><w:bookmarkStart w:id="32" w:name="_Toc323928042"/><w:bookmarkStart w:id="33" w:name="_Toc323927325"/><w:bookmarkStart w:id="34" w:name="_Toc323927107"/><w:bookmarkStart w:id="35" w:name="_Toc323926890"/><w:bookmarkStart w:id="36" w:name="_Toc297880074"/><w:bookmarkStart w:id="37" w:name="_Toc432365744"/><w:bookmarkEnd w:id="31"/><w:bookmarkEnd w:id="32"/><w:bookmarkEnd w:id="33"/><w:bookmarkEnd w:id="34"/><w:bookmarkEnd w:id="35"/><w:bookmarkEnd w:id="36"/><w:bookmarkEnd w:id="37"/><w:r><w:rPr><w:rFonts w:ascii="Times New Roman" w:hAnsi="Times New Roman"/><w:i w:val="false"/><w:sz w:val="24"/><w:szCs w:val="24"/><w:lang w:val="es-ES"/></w:rPr><w:t>Planteamiento del Problema</w:t></w:r></w:p><w:p><w:pPr><w:pStyle w:val="style0"/></w:pPr><w:r><w:rPr><w:lang w:val="es-ES"/></w:rPr></w:r></w:p><w:p><w:pPr><w:pStyle w:val="style0"/><w:spacing w:after="720" w:before="0" w:line="360" w:lineRule="auto"/><w:jc w:val="both"/></w:pPr><w:bookmarkStart w:id="38" w:name="_Toc323928043"/><w:bookmarkStart w:id="39" w:name="_Toc323927326"/><w:bookmarkStart w:id="40" w:name="_Toc323927108"/><w:bookmarkStart w:id="41" w:name="_Toc323926891"/><w:bookmarkStart w:id="42" w:name="_Toc297880075"/><w:bookmarkStart w:id="43" w:name="_Toc297280792"/><w:bookmarkStart w:id="44" w:name="_Toc432365745"/><w:r><w:rPr><w:rFonts w:ascii="Times New Roman" w:hAnsi="Times New Roman"/><w:sz w:val="24"/><w:lang w:val="es-ES"/></w:rPr><w:t xml:space="preserve">     </w:t></w:r><w:r><w:rPr><w:rFonts w:ascii="Times New Roman" w:hAnsi="Times New Roman"/><w:sz w:val="24"/><w:lang w:val="es-ES"/></w:rPr><w:t xml:space="preserve">La economía, a nivel mundial, ha sufrido cambios en relación a la globalización del mercado, avances tecnológicos y prácticas fundamentales que conllevan a procesos de transformación para las pequeñas, medianas y grandes empresas. Por lo tanto, la gerencia organizacional debe desarrollar diversos criterios de acción, basados en sus fortalezas y debilidades, a través de herramientas como el </w:t></w:r><w:r><w:rPr><w:rFonts w:ascii="Times New Roman" w:hAnsi="Times New Roman"/><w:i/><w:sz w:val="24"/><w:lang w:val="es-ES"/></w:rPr><w:t>Balanced Score Card</w:t></w:r><w:r><w:rPr><w:rFonts w:ascii="Times New Roman" w:hAnsi="Times New Roman"/><w:sz w:val="24"/><w:lang w:val="es-ES"/></w:rPr><w:t xml:space="preserve"> que permite la gestión integral de la organización, entre estos la gestión de los recursos financieros que dispone a través de diseños de métodos de planificación financiera en aras de  conseguir ventajas competitivas a la hora de entrar o permanecer en un mercado frente a sus competidores. De allí la importancia del conocimiento de aquellos que hacen frente ante sus empresas, para incurrir en un espacio globalizado a todo nivel,  puesto que, planificar y proyectar escenarios futuros y uso de recursos reduce los riesgos  ante cualquier cambio organizacional, tecnológico y técnico.</w:t></w:r></w:p><w:p><w:pPr><w:pStyle w:val="style0"/><w:spacing w:after="720" w:before="0" w:line="360" w:lineRule="auto"/><w:jc w:val="both"/></w:pPr><w:r><w:rPr><w:rFonts w:ascii="Times New Roman" w:hAnsi="Times New Roman"/><w:sz w:val="24"/><w:lang w:val="es-ES"/></w:rPr><w:t xml:space="preserve">     </w:t></w:r><w:r><w:rPr><w:rFonts w:ascii="Times New Roman" w:hAnsi="Times New Roman"/><w:sz w:val="24"/><w:lang w:val="es-ES"/></w:rPr><w:t xml:space="preserve">Igualmente, las medidas político-económicas de un país hacen que las empresas tomen decisiones que les permitan, dada esas condiciones, mantenerse en un mercado altamente competitivo. Dicha toma de decisiones debe estar vinculada a una gestión interna de la empresa que afecta a todas sus áreas funcionales, desde el diseño y el desarrollo de bienes y servicios hasta la gestión empresarial en su conjunto. En este sentido, la gestión interna de la empresa debe ser constantemente evaluada, puesto que, medir únicamente el desempeño financiero solo producirá buenos resultados en el ámbito financiero en detrimento de los demás elementos que componen una organización; es por ello, que el </w:t></w:r><w:r><w:rPr><w:rFonts w:ascii="Times New Roman" w:hAnsi="Times New Roman"/><w:i/><w:sz w:val="24"/><w:lang w:val="es-ES"/></w:rPr><w:t>Balanced Scorecard</w:t></w:r><w:r><w:rPr><w:rFonts w:ascii="Times New Roman" w:hAnsi="Times New Roman"/><w:sz w:val="24"/><w:lang w:val="es-ES"/></w:rPr><w:t xml:space="preserve"> amplía las perspectivas de gestión para alcanzar objetivos que trasciendan el aspecto financiero.</w:t></w:r></w:p><w:p><w:pPr><w:pStyle w:val="style0"/><w:spacing w:after="720" w:before="0" w:line="360" w:lineRule="auto"/><w:jc w:val="both"/></w:pPr><w:r><w:rPr><w:rFonts w:ascii="Times New Roman" w:hAnsi="Times New Roman"/><w:sz w:val="24"/><w:lang w:val="es-ES"/></w:rPr><w:t xml:space="preserve">     </w:t></w:r><w:r><w:rPr><w:rFonts w:ascii="Times New Roman" w:hAnsi="Times New Roman"/><w:sz w:val="24"/><w:lang w:val="es-ES"/></w:rPr><w:t xml:space="preserve">Desde su publicación en 1992, el </w:t></w:r><w:r><w:rPr><w:rFonts w:ascii="Times New Roman" w:hAnsi="Times New Roman"/><w:i/><w:sz w:val="24"/><w:lang w:val="es-ES"/></w:rPr><w:t>Balanced Scorecard</w:t></w:r><w:r><w:rPr><w:rFonts w:ascii="Times New Roman" w:hAnsi="Times New Roman"/><w:sz w:val="24"/><w:lang w:val="es-ES"/></w:rPr><w:t xml:space="preserve"> ha sido implementado con éxito en más de la mitad de las grandes corporaciones en los Estados Unidos, Europa y Asia creando valor para el entorno en el que dichas organizaciones se desenvuelven.</w:t></w:r></w:p><w:p><w:pPr><w:pStyle w:val="style0"/><w:spacing w:after="720" w:before="144" w:line="360" w:lineRule="auto"/><w:jc w:val="both"/></w:pPr><w:r><w:rPr><w:rFonts w:ascii="Times New Roman" w:hAnsi="Times New Roman"/><w:sz w:val="24"/><w:szCs w:val="24"/><w:lang w:val="es-ES"/></w:rPr><w:t xml:space="preserve">     </w:t></w:r><w:r><w:rPr><w:rFonts w:ascii="Times New Roman" w:hAnsi="Times New Roman"/><w:sz w:val="24"/><w:szCs w:val="24"/><w:lang w:val="es-ES"/></w:rPr><w:t>En Venezuela, se han experimentado cambios en materia económica que ha afectado el desarrollo económico, especialmente el funcionamiento de las empresas bajo un ambiente de confianza y estabilidad. Esto debido a las decisiones de política económica que ha obligado a los empresarios a decidir entre dos opciones; primera, cerrar la empresa y migrar a otro país con mejores posibilidades de crecimiento enmarcadas en el cumplimiento de las leyes o, segundo, tratar de ser rentables en el marco de una economía altamente rentista y regulada, con la creencia de aprovechar las oportunidades que se puedan presentar en una economía que es vulnerable a los shocks petroleros.</w:t></w:r></w:p><w:p><w:pPr><w:pStyle w:val="style0"/><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Las empresas tratan de realizar una planificación financiera dentro de los posibles escenarios económicos que se presenten, devaluación, inflación, expropiaciones, y otros factores que condicionan la rentabilidad de una empresa. Para ello, se planifica con la finalidad de alcanzar la maximización de los beneficios en un entorno cambiante e influyente. En la mayoría de las empresas, por no decir todas, se ha afectado su estructura de costos debido a las diferentes políticas económicas que afectan las cadenas de producción y/o servicios, por lo que se ven obligadas a colocar en el mercado sus productos y/o servicios a precios elevados para obtener un mínimo porcentaje de ganancias, que les permita cierta holgura luego de cumplir con las obligaciones contractuales y del Estado. </w:t></w:r></w:p><w:p><w:pPr><w:pStyle w:val="style0"/><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Teóricamente, la planificación, según Redes de Micro Organizaciones Grupo Somosaguas de España(s/f: 11), se refiere a “…</w:t></w:r><w:r><w:rPr><w:rFonts w:ascii="Times New Roman" w:hAnsi="Times New Roman"/><w:sz w:val="24"/><w:szCs w:val="24"/></w:rPr><w:t>un proceso que consiste en el establecimiento de las líneas de acción a seguir ante diversas situaciones o panoramas</w:t></w:r><w:r><w:rPr><w:rFonts w:ascii="Times New Roman" w:hAnsi="Times New Roman"/><w:sz w:val="16"/><w:szCs w:val="16"/></w:rPr><w:t xml:space="preserve"> </w:t></w:r><w:r><w:rPr><w:rFonts w:ascii="Times New Roman" w:hAnsi="Times New Roman"/><w:sz w:val="24"/><w:szCs w:val="24"/></w:rPr><w:t xml:space="preserve">que pueden acontecer razonablemente, de cara a la consecución de los objetivos establecidos, teniendo en cuenta las circunstancias limitativas y promotoras”. </w:t></w:r></w:p><w:p><w:pPr><w:pStyle w:val="style0"/><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Ahora bien, las empresas requieren de una gestión financiera eficiente que los conduzcan a la mejor asignación de recursos, es decir, maximización de los beneficios. Para ello, la empresa debe tener claro los objetivos que debe alcanzar para una óptima toma de decisión (Terán, 2010). La toma de decisión está enmarcada dentro del entorno en el cual se desenvuelve, es decir aquellos factores tanto internos (organización) como externos (políticas económicas) que influyen en la compañía y que deben ser tomados en cuenta para lograr una perspectiva clara de lo que se quiere alcanzar. </w:t></w:r></w:p><w:p><w:pPr><w:pStyle w:val="style0"/><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Luego de que la empresa u organización realice un análisis interno, además de un análisis de posibles escenarios socioeconómico de las políticas del país en el que reside, establecerá aquellos objetivos que desea alcanzar a través de la planificación financiera, con el fin de mejorar los resultados económicos históricos, de forma que se pueda brindar un mayor aporte tanto a la organización como al crecimiento del país. </w:t></w:r></w:p><w:p><w:pPr><w:pStyle w:val="style0"/><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El campo de acción de esta misiva se refiere al sector alimenticio específicamente el rubro de las carnes. En los países en desarrollo todavía se maneja la estructura de matadero para el sacrificio de los animales vivos, preparación de canales y otros, con el fin de prestar servicios a las carnicerías.  En las zonas rurales se establecen pequeños mataderos para satisfacer las carnicerías de la localidad y en las zonas urbanas se establecen mataderos municipales para satisfacer al municipio donde está ubicado, según Organización de las Naciones Unidas para la Agricultura y la Alimentación (1993). </w:t></w:r></w:p><w:p><w:pPr><w:pStyle w:val="style0"/><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Uno de los costos que implica el funcionamiento del matadero, son los costos de transporte, de allí la importancia de la ubicación estratégica y aseguramiento de un sistema de transporte que permita el traslado de los productos y subproductos a su lugar de destino. Con respecto a la mano de obra, los mataderos deben contar con mano de obra calificada y no calificada, igualmente, la disposición de mano de obra dependerá de la ubicación de la empresa que permita una llegada oportuna de sus trabajadores para el comienzo de la jornada laboral. </w:t></w:r></w:p><w:p><w:pPr><w:pStyle w:val="style0"/><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Lo anterior sugiere el manejo eficiente de la planificación financiera que pueda tener una empresa de este tipo, sin importar la figura jurídica que represente (pública o privada). En consecuencia, se debe “jugar” con cada uno de los factores internos, además de la organización, para mantener los niveles de rentabilidad deseados y expresados en los objetivos de la empresa.</w:t></w:r></w:p><w:p><w:pPr><w:pStyle w:val="style0"/><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En cuanto a los factores externos, se trae a colación el caso de Argentina, en el cual se ha experimentado un desplazo de las pequeñas carnicerías por parte de los grandes supermercados (Oficina Nacional de Control Agropecuario), lo cual ha provocado disyuntivas en la cadena de comercialización a través de los nuevos niveles de negociación al que se enfrentan con la llegada de los supermercados, que en su mayoría pertenecen a grandes cadenas nacionales. </w:t></w:r></w:p><w:p><w:pPr><w:pStyle w:val="style0"/><w:tabs><w:tab w:leader="none" w:pos="6263" w:val="left"/></w:tabs><w:spacing w:after="720" w:before="60" w:line="360" w:lineRule="auto"/><w:jc w:val="both"/></w:pPr><w:r><w:rPr><w:rFonts w:ascii="Times New Roman" w:hAnsi="Times New Roman"/><w:sz w:val="24"/><w:szCs w:val="24"/></w:rPr><w:t xml:space="preserve">    </w:t></w:r><w:r><w:rPr><w:rFonts w:ascii="Times New Roman" w:hAnsi="Times New Roman"/><w:sz w:val="24"/><w:szCs w:val="24"/><w:lang w:val="es-ES"/></w:rPr><w:t xml:space="preserve">     </w:t></w:r><w:r><w:rPr><w:rFonts w:ascii="Times New Roman" w:hAnsi="Times New Roman"/><w:sz w:val="24"/><w:szCs w:val="24"/><w:lang w:val="es-ES"/></w:rPr><w:t>De allí la importancia del análisis externo e interno para la definición de objetivos claros que conlleven a una planificación permisiva de la maximización de los beneficios, los cuales favorecerán a los trabajadores directos e indirectos, dueños, encargados y consumidores finales; esto debido a que, toma en cuenta todos los factores que pudiesen incidir en el comportamiento financiero de la empresa.</w:t></w:r></w:p><w:p><w:pPr><w:pStyle w:val="style0"/><w:tabs><w:tab w:leader="none" w:pos="6263" w:val="left"/></w:tabs><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En el caso específico del Frigorífico Industrial Carabobo, se han encontrado irregularidades desde el punto de vista organizacional y financiero que se han venido subsanando hasta los momentos. Desde el punto de vista financiero, no existe planificación que permita armar los presupuestos maestros para la programación de las inversiones en la empresa, lo que constituye un camino a ciegas en las decisiones de la alta gerencia. Las instalaciones requieren de inversión para la adquisición de maquinaria y equipos, además de la adecuación de áreas internas para los trabajadores como el comedor, entre otros. Sin embargo, no se cuenta con la planificación financiera que permita tomar decisiones acerca de la inversión y/o financiamiento futuro para la mejora de la empresa.</w:t></w:r></w:p><w:p><w:pPr><w:pStyle w:val="style0"/><w:tabs><w:tab w:leader="none" w:pos="6263" w:val="left"/></w:tabs><w:spacing w:after="720" w:before="60" w:line="360" w:lineRule="auto"/><w:jc w:val="both"/></w:pPr><w:r><w:rPr><w:rFonts w:ascii="Times New Roman" w:hAnsi="Times New Roman"/><w:b/><w:sz w:val="24"/><w:szCs w:val="24"/><w:lang w:val="es-ES"/></w:rPr><w:t>Formulación del Problema</w:t></w:r></w:p><w:p><w:pPr><w:pStyle w:val="style0"/><w:tabs><w:tab w:leader="none" w:pos="6263" w:val="left"/></w:tabs><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Ante la situación explicada con anterioridad se formula la siguiente interrogante ¿De qué manera un modelo de planificación financiera permitirá la maximización de los beneficios del Frigorífico Industrial Carabobo (FRINCA), ubicado en el Municipio Valencia Estado Carabobo? </w:t></w:r></w:p><w:p><w:pPr><w:pStyle w:val="style0"/><w:tabs><w:tab w:leader="none" w:pos="6263" w:val="left"/></w:tabs><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Esta pregunta será respondida en función al desarrollo de los siguientes objetivos, los cuales permitirán, finalmente, proponer el modelo financiero adecuado para la consecución de la maximización de beneficios de la empresa antes citada. </w:t></w:r></w:p><w:p><w:pPr><w:pStyle w:val="style2"/><w:numPr><w:ilvl w:val="1"/><w:numId w:val="1"/></w:numPr></w:pPr><w:bookmarkStart w:id="45" w:name="_Toc323927326"/><w:bookmarkStart w:id="46" w:name="_Toc323927108"/><w:bookmarkStart w:id="47" w:name="_Toc323926891"/><w:bookmarkStart w:id="48" w:name="_Toc297880075"/><w:bookmarkStart w:id="49" w:name="_Toc297280792"/><w:bookmarkStart w:id="50" w:name="_Toc432365745"/><w:bookmarkStart w:id="51" w:name="__RefHeading__24278_1557213427"/><w:bookmarkStart w:id="52" w:name="_Toc297280793"/><w:bookmarkEnd w:id="51"/><w:bookmarkEnd w:id="45"/><w:bookmarkEnd w:id="46"/><w:bookmarkEnd w:id="47"/><w:bookmarkEnd w:id="48"/><w:bookmarkEnd w:id="49"/><w:bookmarkEnd w:id="50"/><w:bookmarkEnd w:id="52"/><w:r><w:rPr><w:rFonts w:ascii="Times New Roman" w:hAnsi="Times New Roman"/><w:i w:val="false"/><w:sz w:val="24"/></w:rPr><w:t>Objetivos de la Investigación</w:t></w:r></w:p><w:p><w:pPr><w:pStyle w:val="style0"/><w:spacing w:after="144" w:before="144" w:line="360" w:lineRule="auto"/><w:jc w:val="both"/></w:pPr><w:r><w:rPr><w:rFonts w:ascii="Times New Roman" w:hAnsi="Times New Roman"/><w:i/><w:sz w:val="24"/><w:szCs w:val="24"/></w:rPr></w:r></w:p><w:p><w:pPr><w:pStyle w:val="style0"/></w:pPr><w:bookmarkStart w:id="53" w:name="_Toc323928043"/><w:bookmarkStart w:id="54" w:name="_Toc323928044"/><w:bookmarkStart w:id="55" w:name="_Toc323927505"/><w:bookmarkStart w:id="56" w:name="_Toc323927327"/><w:bookmarkStart w:id="57" w:name="_Toc323927109"/><w:bookmarkStart w:id="58" w:name="_Toc323926892"/><w:bookmarkStart w:id="59" w:name="_Toc323926786"/><w:bookmarkStart w:id="60" w:name="_Toc297880076"/><w:bookmarkStart w:id="61" w:name="_Toc297879224"/><w:bookmarkStart w:id="62" w:name="Bookmark1"/><w:bookmarkEnd w:id="53"/><w:bookmarkEnd w:id="54"/><w:bookmarkEnd w:id="55"/><w:bookmarkEnd w:id="56"/><w:bookmarkEnd w:id="57"/><w:bookmarkEnd w:id="58"/><w:bookmarkEnd w:id="59"/><w:bookmarkEnd w:id="60"/><w:bookmarkEnd w:id="61"/><w:bookmarkEnd w:id="62"/><w:r><w:rPr><w:rFonts w:ascii="Times New Roman" w:hAnsi="Times New Roman"/><w:b/><w:i/><w:sz w:val="24"/><w:lang w:val="es-ES"/></w:rPr><w:t>Objetivo General</w:t></w:r></w:p><w:p><w:pPr><w:pStyle w:val="style0"/><w:keepNext/><w:keepLines/><w:spacing w:after="60" w:before="300" w:line="360" w:lineRule="auto"/></w:pPr><w:r><w:rPr><w:rFonts w:ascii="Times New Roman" w:eastAsia="Times New Roman" w:hAnsi="Times New Roman"/><w:bCs/><w:i/><w:sz w:val="24"/><w:szCs w:val="24"/><w:lang w:val="es-ES"/></w:rPr></w:r></w:p><w:p><w:pPr><w:pStyle w:val="style0"/><w:tabs><w:tab w:leader="none" w:pos="6263" w:val="left"/></w:tabs><w:spacing w:after="720" w:before="60" w:line="360" w:lineRule="auto"/><w:jc w:val="both"/></w:pPr><w:bookmarkStart w:id="63" w:name="_Toc297280794"/><w:r><w:rPr><w:rFonts w:ascii="Times New Roman" w:hAnsi="Times New Roman"/><w:sz w:val="24"/><w:szCs w:val="24"/><w:lang w:val="es-ES"/></w:rPr><w:t xml:space="preserve">     </w:t></w:r><w:r><w:rPr><w:rFonts w:ascii="Times New Roman" w:hAnsi="Times New Roman"/><w:sz w:val="24"/><w:szCs w:val="24"/><w:lang w:val="es-ES"/></w:rPr><w:t xml:space="preserve">Proponer un modelo de planificación financiera basado en el </w:t></w:r><w:r><w:rPr><w:rFonts w:ascii="Times New Roman" w:hAnsi="Times New Roman"/><w:i/><w:sz w:val="24"/><w:szCs w:val="24"/><w:lang w:val="es-ES"/></w:rPr><w:t>Balanced Scorecard</w:t></w:r><w:r><w:rPr><w:rFonts w:ascii="Times New Roman" w:hAnsi="Times New Roman"/><w:sz w:val="24"/><w:szCs w:val="24"/><w:lang w:val="es-ES"/></w:rPr><w:t xml:space="preserve"> para la maximización de beneficios del Frigorífico Industrial Carabobo (FRINCA) ubicado en el Municipio Valencia, Estado Carabobo.</w:t></w:r></w:p><w:p><w:pPr><w:pStyle w:val="style0"/><w:tabs><w:tab w:leader="none" w:pos="6263" w:val="left"/></w:tabs><w:spacing w:after="720" w:before="60" w:line="360" w:lineRule="auto"/><w:jc w:val="both"/></w:pPr><w:bookmarkStart w:id="64" w:name="_Toc297280794"/><w:bookmarkEnd w:id="64"/><w:r><w:rPr><w:rFonts w:ascii="Times New Roman" w:hAnsi="Times New Roman"/><w:b/><w:i/><w:sz w:val="24"/><w:szCs w:val="24"/></w:rPr><w:t>Objetivos Específicos</w:t></w:r></w:p><w:p><w:pPr><w:pStyle w:val="style0"/><w:numPr><w:ilvl w:val="0"/><w:numId w:val="2"/></w:numPr><w:tabs><w:tab w:leader="none" w:pos="709" w:val="left"/></w:tabs><w:spacing w:after="384" w:before="160" w:line="360" w:lineRule="auto"/><w:jc w:val="both"/></w:pPr><w:bookmarkStart w:id="65" w:name="_Toc323927328"/><w:bookmarkStart w:id="66" w:name="_Toc323927110"/><w:bookmarkStart w:id="67" w:name="_Toc323926893"/><w:bookmarkStart w:id="68" w:name="_Toc297880077"/><w:bookmarkStart w:id="69" w:name="_Toc432365746"/><w:r><w:rPr><w:rFonts w:ascii="Times New Roman" w:hAnsi="Times New Roman"/><w:sz w:val="24"/><w:szCs w:val="24"/><w:lang w:val="es-ES"/></w:rPr><w:t>Diagnosticar la salud financiera del Frigorífico Industrial Carabobo (FRINCA) a través del análisis de sus estados financieros.</w:t></w:r></w:p><w:p><w:pPr><w:pStyle w:val="style0"/><w:numPr><w:ilvl w:val="0"/><w:numId w:val="2"/></w:numPr><w:tabs><w:tab w:leader="none" w:pos="709" w:val="left"/></w:tabs><w:spacing w:after="384" w:before="160" w:line="360" w:lineRule="auto"/><w:jc w:val="both"/></w:pPr><w:r><w:rPr><w:rFonts w:ascii="Times New Roman" w:hAnsi="Times New Roman"/><w:sz w:val="24"/><w:szCs w:val="24"/><w:lang w:val="es-ES"/></w:rPr><w:t>Analizar los factores internos y externos en relación a la gestión financiera que presenta el Frigorífico Industrial Carabobo (FRINCA).</w:t></w:r></w:p><w:p><w:pPr><w:pStyle w:val="style41"/><w:numPr><w:ilvl w:val="0"/><w:numId w:val="2"/></w:numPr><w:spacing w:after="384" w:before="160" w:line="360" w:lineRule="auto"/><w:jc w:val="both"/></w:pPr><w:r><w:rPr><w:rFonts w:ascii="Times New Roman" w:hAnsi="Times New Roman"/><w:sz w:val="24"/><w:szCs w:val="24"/><w:lang w:val="es-ES"/></w:rPr><w:t xml:space="preserve">Diseñar un modelo de planificación financiera en base al </w:t></w:r><w:r><w:rPr><w:rFonts w:ascii="Times New Roman" w:hAnsi="Times New Roman"/><w:i/><w:sz w:val="24"/><w:szCs w:val="24"/><w:lang w:val="es-ES"/></w:rPr><w:t>Balanced Score Card</w:t></w:r><w:r><w:rPr><w:rFonts w:ascii="Times New Roman" w:hAnsi="Times New Roman"/><w:sz w:val="24"/><w:szCs w:val="24"/><w:lang w:val="es-ES"/></w:rPr><w:t xml:space="preserve"> para la consecución de la maximización de los beneficios.</w:t></w:r></w:p><w:p><w:pPr><w:pStyle w:val="style2"/><w:numPr><w:ilvl w:val="1"/><w:numId w:val="1"/></w:numPr><w:spacing w:after="720" w:before="720"/></w:pPr><w:bookmarkStart w:id="70" w:name="_Toc323927328"/><w:bookmarkStart w:id="71" w:name="_Toc323927110"/><w:bookmarkStart w:id="72" w:name="_Toc323926893"/><w:bookmarkStart w:id="73" w:name="_Toc297880077"/><w:bookmarkStart w:id="74" w:name="_Toc432365746"/><w:bookmarkStart w:id="75" w:name="__RefHeading__24280_1557213427"/><w:bookmarkStart w:id="76" w:name="_Toc323928045"/><w:bookmarkEnd w:id="75"/><w:bookmarkEnd w:id="70"/><w:bookmarkEnd w:id="71"/><w:bookmarkEnd w:id="72"/><w:bookmarkEnd w:id="73"/><w:bookmarkEnd w:id="74"/><w:bookmarkEnd w:id="76"/><w:r><w:rPr><w:rFonts w:ascii="Times New Roman" w:hAnsi="Times New Roman"/><w:i w:val="false"/><w:sz w:val="24"/><w:szCs w:val="24"/><w:lang w:val="es-ES"/></w:rPr><w:t>Justificación</w:t></w:r></w:p><w:p><w:pPr><w:pStyle w:val="style0"/><w:tabs><w:tab w:leader="none" w:pos="6263" w:val="left"/></w:tabs><w:spacing w:after="720" w:before="720" w:line="360" w:lineRule="auto"/><w:jc w:val="both"/></w:pPr><w:r><w:rPr><w:rFonts w:ascii="Times New Roman" w:hAnsi="Times New Roman"/><w:sz w:val="24"/><w:szCs w:val="24"/></w:rPr><w:t xml:space="preserve">     </w:t></w:r><w:r><w:rPr><w:rFonts w:ascii="Times New Roman" w:hAnsi="Times New Roman"/><w:sz w:val="24"/><w:szCs w:val="24"/></w:rPr><w:t xml:space="preserve">El diagnóstico de la salud financiera, a través del cálculo de los índices financieros, </w:t></w:r><w:r><w:rPr><w:rFonts w:ascii="Times New Roman" w:hAnsi="Times New Roman"/><w:sz w:val="24"/><w:szCs w:val="24"/><w:lang w:val="es-ES"/></w:rPr><w:t xml:space="preserve">ayuda a la examinación de la situación de la misma desde el punto de vista económico, del cual se partirá como punto de comparación luego de la aplicación del plan de gestión financiera basado en el </w:t></w:r><w:r><w:rPr><w:rFonts w:ascii="Times New Roman" w:hAnsi="Times New Roman"/><w:i/><w:sz w:val="24"/><w:szCs w:val="24"/><w:lang w:val="es-ES"/></w:rPr><w:t xml:space="preserve">Balanced Scorecard. </w:t></w:r><w:r><w:rPr><w:rFonts w:ascii="Times New Roman" w:hAnsi="Times New Roman"/><w:sz w:val="24"/><w:szCs w:val="24"/><w:lang w:val="es-ES"/></w:rPr><w:t>Sin embargo, en este proyecto sólo se elaborará el plan de gestión financiera, es decir, no se extenderá a su aplicación. Igualmente, ayuda a la determinación de los factores internos y externos tal y como se describe en el siguiente objetivo.</w:t></w:r></w:p><w:p><w:pPr><w:pStyle w:val="style0"/><w:tabs><w:tab w:leader="none" w:pos="6263" w:val="left"/></w:tabs><w:spacing w:after="720" w:before="720" w:line="360" w:lineRule="auto"/><w:jc w:val="both"/></w:pPr><w:r><w:rPr><w:rFonts w:ascii="Times New Roman" w:hAnsi="Times New Roman"/><w:sz w:val="24"/><w:szCs w:val="24"/><w:lang w:val="es-ES"/></w:rPr><w:t xml:space="preserve">     </w:t></w:r><w:r><w:rPr><w:rFonts w:ascii="Times New Roman" w:hAnsi="Times New Roman"/><w:sz w:val="24"/><w:szCs w:val="24"/><w:lang w:val="es-ES"/></w:rPr><w:t xml:space="preserve">El análisis de los factores internos y externos de la gestión financiera que presenta el Frigorífico Industrial Carabobo se realiza como paso previo a la identificación de los objetivos estratégicos de la organización. Al respecto, Fernández (2001) señala que esto se logra a través de la concepción de elementos como mapas estratégicos, asignación de recursos y evaluación de desempeño para coordinar las acciones de las personas de la organización con la estrategia empresarial. Estos conceptos están asociados al concepto del </w:t></w:r><w:r><w:rPr><w:rFonts w:ascii="Times New Roman" w:hAnsi="Times New Roman"/><w:i/><w:sz w:val="24"/><w:szCs w:val="24"/><w:lang w:val="es-ES"/></w:rPr><w:t xml:space="preserve">Balanced  Scorecard </w:t></w:r><w:r><w:rPr><w:rFonts w:ascii="Times New Roman" w:hAnsi="Times New Roman"/><w:sz w:val="24"/><w:szCs w:val="24"/><w:lang w:val="es-ES"/></w:rPr><w:t>que según el autor es, “un modelo de gestión que traduce la estrategia en objetivos relacionados, medido a través de indicadores y ligados a unos planes de acción que permiten alinear el comportamiento de los miembros de la organización”.</w:t></w:r></w:p><w:p><w:pPr><w:pStyle w:val="style0"/><w:tabs><w:tab w:leader="none" w:pos="6263" w:val="left"/></w:tabs><w:spacing w:after="720" w:before="720" w:line="360" w:lineRule="auto"/><w:jc w:val="both"/></w:pPr><w:r><w:rPr><w:rFonts w:ascii="Times New Roman" w:hAnsi="Times New Roman"/><w:sz w:val="24"/><w:szCs w:val="24"/><w:lang w:val="es-ES"/></w:rPr><w:t xml:space="preserve">    </w:t></w:r><w:r><w:rPr><w:rFonts w:ascii="Times New Roman" w:hAnsi="Times New Roman"/><w:sz w:val="24"/><w:szCs w:val="24"/><w:lang w:val="es-ES"/></w:rPr><w:t xml:space="preserve">Fernández continúa señalando que, los objetivos estratégicos sirven para plasmar la visión del negocio desde diferentes puntos de vista, de forma que posteriormente se pueda examinar cómo se está acometiendo la estrategia a mediano y a largo plazo a través de esta herramienta. Existen cuatro perspectivas para enfocar la estrategia de la empresa (ver Figura 1): financiera, del cliente, interna y, de aprendizaje y crecimiento. Esta misiva se enfoca en la primera perspectiva la cual se refiere a “¿Qué debemos hacer para satisfacer las expectativas de nuestros accionistas?” es decir la maximización del beneficio como uno de los criterios económicos. Sin embargo, se hace mención a las otras perspectivas debido al papel que juegan dentro de una organización. </w:t></w:r></w:p><w:p><w:pPr><w:pStyle w:val="style0"/><w:jc w:val="center"/></w:pPr><w:bookmarkStart w:id="77" w:name="_Toc323927507"/><w:bookmarkStart w:id="78" w:name="_Toc323927329"/><w:bookmarkStart w:id="79" w:name="_Toc323928046"/><w:r><w:rPr><w:rFonts w:ascii="Times New Roman" w:hAnsi="Times New Roman"/><w:b/><w:sz w:val="24"/><w:szCs w:val="24"/></w:rPr><w:t>FIGURA 1</w:t></w:r><w:r><w:rPr><w:rFonts w:ascii="Times New Roman" w:hAnsi="Times New Roman"/><w:sz w:val="24"/><w:szCs w:val="24"/></w:rPr><w:t xml:space="preserve">. </w:t></w:r><w:bookmarkEnd w:id="77"/><w:bookmarkEnd w:id="78"/><w:bookmarkEnd w:id="79"/><w:r><w:rPr><w:rStyle w:val="style23"/><w:rFonts w:ascii="Times New Roman" w:eastAsia="Calibri" w:hAnsi="Times New Roman"/><w:b w:val="false"/><w:sz w:val="24"/><w:szCs w:val="24"/></w:rPr><w:t>Ejemplo de Mapa Estratégico</w:t><w:drawing><wp:anchor allowOverlap="1" behindDoc="1" distB="0" distL="0" distR="0" distT="0" layoutInCell="1" locked="0" relativeHeight="0" simplePos="0"><wp:simplePos x="0" y="0"/><wp:positionH relativeFrom="character"><wp:posOffset>616585</wp:posOffset></wp:positionH><wp:positionV relativeFrom="line"><wp:posOffset>-1320800</wp:posOffset></wp:positionV><wp:extent cx="4310380" cy="284543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0"/><a:srcRect/><a:stretch><a:fillRect/></a:stretch></pic:blipFill><pic:spPr bwMode="auto"><a:xfrm><a:off x="0" y="0"/><a:ext cx="4310380" cy="2845435"/></a:xfrm><a:prstGeom prst="rect"><a:avLst/></a:prstGeom><a:noFill/><a:ln w="9525"><a:noFill/><a:miter lim="800000"/><a:headEnd/><a:tailEnd/></a:ln></pic:spPr></pic:pic></a:graphicData></a:graphic></wp:anchor></w:drawing><w:drawing><wp:anchor allowOverlap="1" behindDoc="1" distB="0" distL="0" distR="0" distT="0" layoutInCell="1" locked="0" relativeHeight="0" simplePos="0"><wp:simplePos x="0" y="0"/><wp:positionH relativeFrom="character"><wp:posOffset>371475</wp:posOffset></wp:positionH><wp:positionV relativeFrom="line"><wp:posOffset>308610</wp:posOffset></wp:positionV><wp:extent cx="4211955" cy="375920"/><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1"/><a:srcRect/><a:stretch><a:fillRect/></a:stretch></pic:blipFill><pic:spPr bwMode="auto"><a:xfrm><a:off x="0" y="0"/><a:ext cx="4211955" cy="375920"/></a:xfrm><a:prstGeom prst="rect"><a:avLst/></a:prstGeom><a:noFill/><a:ln w="9525"><a:noFill/><a:miter lim="800000"/><a:headEnd/><a:tailEnd/></a:ln></pic:spPr></pic:pic></a:graphicData></a:graphic></wp:anchor></w:drawing></w:r></w:p><w:p><w:pPr><w:pStyle w:val="style0"/><w:tabs><w:tab w:leader="none" w:pos="6263" w:val="left"/></w:tabs><w:spacing w:after="720" w:before="720" w:line="360" w:lineRule="auto"/><w:jc w:val="both"/></w:pPr><w:r><w:rPr><w:rFonts w:ascii="Times New Roman" w:hAnsi="Times New Roman"/><w:sz w:val="24"/><w:szCs w:val="24"/><w:lang w:val="es-ES"/></w:rPr></w:r></w:p><w:p><w:pPr><w:pStyle w:val="style0"/><w:tabs><w:tab w:leader="none" w:pos="6263" w:val="left"/></w:tabs><w:spacing w:after="720" w:before="720" w:line="360" w:lineRule="auto"/><w:jc w:val="both"/></w:pPr><w:r><w:rPr><w:rFonts w:ascii="Times New Roman" w:hAnsi="Times New Roman"/><w:sz w:val="24"/><w:szCs w:val="24"/><w:lang w:val="es-ES"/></w:rPr></w:r></w:p><w:p><w:pPr><w:pStyle w:val="style0"/><w:tabs><w:tab w:leader="none" w:pos="6263" w:val="left"/></w:tabs><w:spacing w:after="720" w:before="720" w:line="360" w:lineRule="auto"/><w:jc w:val="both"/></w:pPr><w:r><w:rPr><w:rFonts w:ascii="Times New Roman" w:hAnsi="Times New Roman"/><w:sz w:val="24"/><w:szCs w:val="24"/><w:lang w:val="es-ES"/></w:rPr></w:r></w:p><w:p><w:pPr><w:pStyle w:val="style0"/><w:spacing w:line="100" w:lineRule="atLeast"/></w:pPr><w:r><w:rPr><w:rFonts w:ascii="Times New Roman" w:hAnsi="Times New Roman"/><w:b/><w:sz w:val="20"/><w:szCs w:val="20"/><w:lang w:val="es-ES"/></w:rPr><w:t>Fuente</w:t></w:r><w:r><w:rPr><w:rFonts w:ascii="Times New Roman" w:hAnsi="Times New Roman"/><w:sz w:val="20"/><w:szCs w:val="20"/><w:lang w:val="es-ES"/></w:rPr><w:t>: Fernández, 2001. Extraído de:</w:t></w:r><w:r><w:rPr><w:rStyle w:val="style22"/><w:rFonts w:ascii="Times New Roman" w:hAnsi="Times New Roman"/><w:b w:val="false"/><w:color w:val="00000A"/><w:sz w:val="24"/><w:szCs w:val="24"/><w:u w:val="none"/></w:rPr><w:t xml:space="preserve"> </w:t></w:r><w:r><w:rPr><w:rStyle w:val="style22"/><w:rFonts w:ascii="Times New Roman" w:hAnsi="Times New Roman"/><w:b w:val="false"/><w:bCs w:val="false"/><w:caps w:val="false"/><w:smallCaps w:val="false"/><w:color w:val="00000A"/><w:sz w:val="20"/><w:szCs w:val="20"/><w:u w:val="none"/></w:rPr><w:t>www.ee-iese.com/81/81pdf/afondo4.pdf</w:t></w:r></w:p><w:p><w:pPr><w:pStyle w:val="style0"/><w:tabs><w:tab w:leader="none" w:pos="6263" w:val="left"/></w:tabs><w:spacing w:after="720" w:before="720" w:line="360" w:lineRule="auto"/><w:jc w:val="both"/></w:pPr><w:r><w:rPr><w:rFonts w:ascii="Times New Roman" w:hAnsi="Times New Roman"/><w:sz w:val="24"/><w:szCs w:val="24"/><w:lang w:val="es-ES"/></w:rPr><w:t xml:space="preserve">     </w:t></w:r><w:r><w:rPr><w:rFonts w:ascii="Times New Roman" w:hAnsi="Times New Roman"/><w:sz w:val="24"/><w:szCs w:val="24"/><w:lang w:val="es-ES"/></w:rPr><w:t xml:space="preserve">En este sentido, se tendrán las herramientas necesarias, las cuales toma en cuenta elementos financieros, para elaborar el plan de gestión financiero basado en el </w:t></w:r><w:r><w:rPr><w:rFonts w:ascii="Times New Roman" w:hAnsi="Times New Roman"/><w:i/><w:sz w:val="24"/><w:szCs w:val="24"/><w:lang w:val="es-ES"/></w:rPr><w:t>Balanced Score Card</w:t></w:r><w:r><w:rPr><w:rFonts w:ascii="Times New Roman" w:hAnsi="Times New Roman"/><w:sz w:val="24"/><w:szCs w:val="24"/><w:lang w:val="es-ES"/></w:rPr><w:t xml:space="preserve">, el cual se ha aplicado para grandes, medianas y pequeñas empresas, con alta o baja rentabilidad, pues el modelo no depende de la organización sino de los problemas que posee, en cuanto a estrategias se refiere y a la comunicación de las mismas. </w:t></w:r></w:p><w:p><w:pPr><w:pStyle w:val="style0"/><w:tabs><w:tab w:leader="none" w:pos="6263" w:val="left"/></w:tabs><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Además, se justifica la elaboración de este proyecto debido la mejora en el sistema organizativo y financiero de la empresa FRINCA, por lo que el valor agregado consistirá en la propuesta de un modelo de planificación que regenere las condiciones actuales de FRINCA y la coloque en mejor posición con respecto a otras empresas del sector a nivel nacional, a través de la obtención de un mejor desempeño en la actividad económica. </w:t></w:r></w:p><w:p><w:pPr><w:pStyle w:val="style0"/><w:tabs><w:tab w:leader="none" w:pos="6263" w:val="left"/></w:tabs><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Finalmente, aporta de manera intelectual a través del desarrollo del Trabajo de Grado el cual se enmarca en la línea de investigación </w:t></w:r><w:r><w:rPr><w:rFonts w:ascii="Times New Roman" w:hAnsi="Times New Roman"/><w:sz w:val="24"/><w:szCs w:val="24"/></w:rPr><w:t xml:space="preserve">Gestión Financiera y Sistema Empresarial Venezolano. Esto explicado porque la gestión financiera es parte fundamental de la gestión empresarial ya que todos los aspectos de la actividad de las empresas se ven reflejados en sus resultados y en su estructura financiera, y a su vez, una medida de desempeño. Por su parte, la realidad  venezolana hace necesaria, que las empresas asuman el rol que deben desempeñar, a través de la gerencia a fin de contribuir a afrontar los actuales retos, garantizando productividad y eficiencia. </w:t></w:r></w:p><w:p><w:pPr><w:pStyle w:val="style0"/><w:tabs><w:tab w:leader="none" w:pos="6263" w:val="left"/></w:tabs><w:spacing w:after="720" w:before="60" w:line="360" w:lineRule="auto"/><w:jc w:val="both"/></w:pPr><w:r><w:rPr><w:rFonts w:ascii="Times New Roman" w:hAnsi="Times New Roman"/><w:sz w:val="24"/><w:szCs w:val="24"/></w:rPr></w:r></w:p><w:p><w:pPr><w:pStyle w:val="style0"/><w:tabs><w:tab w:leader="none" w:pos="6263" w:val="left"/></w:tabs><w:spacing w:after="720" w:before="60" w:line="360" w:lineRule="auto"/><w:jc w:val="both"/></w:pPr><w:r><w:rPr><w:rFonts w:ascii="Times New Roman" w:hAnsi="Times New Roman"/><w:sz w:val="24"/><w:szCs w:val="24"/></w:rPr></w:r></w:p><w:p><w:pPr><w:pStyle w:val="style0"/><w:tabs><w:tab w:leader="none" w:pos="6263" w:val="left"/></w:tabs><w:spacing w:after="720" w:before="60" w:line="360" w:lineRule="auto"/><w:jc w:val="both"/></w:pPr><w:r><w:rPr><w:rFonts w:ascii="Times New Roman" w:hAnsi="Times New Roman"/><w:sz w:val="24"/><w:szCs w:val="24"/></w:rPr></w:r></w:p><w:p><w:pPr><w:pStyle w:val="style0"/><w:tabs><w:tab w:leader="none" w:pos="6263" w:val="left"/></w:tabs><w:spacing w:after="384" w:before="160" w:line="360" w:lineRule="auto"/><w:jc w:val="both"/></w:pPr><w:r><w:rPr><w:rFonts w:ascii="Times New Roman" w:hAnsi="Times New Roman"/><w:sz w:val="24"/><w:szCs w:val="24"/><w:lang w:val="es-ES"/></w:rPr></w:r></w:p><w:p><w:pPr><w:pStyle w:val="style1"/><w:spacing w:line="100" w:lineRule="atLeast"/><w:jc w:val="center"/></w:pPr><w:bookmarkStart w:id="80" w:name="_Toc323927330"/><w:bookmarkStart w:id="81" w:name="_Toc323927112"/><w:bookmarkStart w:id="82" w:name="_Toc323926894"/><w:bookmarkStart w:id="83" w:name="_Toc322114581"/><w:bookmarkStart w:id="84" w:name="_Toc432365747"/><w:bookmarkStart w:id="85" w:name="_Toc323927330"/><w:bookmarkStart w:id="86" w:name="_Toc323927112"/><w:bookmarkStart w:id="87" w:name="_Toc323926894"/><w:bookmarkStart w:id="88" w:name="_Toc322114581"/><w:bookmarkStart w:id="89" w:name="_Toc432365747"/><w:r><w:rPr><w:rFonts w:ascii="Times New Roman" w:hAnsi="Times New Roman"/><w:sz w:val="24"/><w:szCs w:val="24"/></w:rPr></w:r></w:p><w:p><w:pPr><w:pStyle w:val="style1"/><w:spacing w:line="360" w:lineRule="auto"/><w:jc w:val="center"/></w:pPr><w:bookmarkStart w:id="90" w:name="_Toc323927330"/><w:bookmarkStart w:id="91" w:name="_Toc323927112"/><w:bookmarkStart w:id="92" w:name="_Toc323926894"/><w:bookmarkStart w:id="93" w:name="_Toc322114581"/><w:bookmarkStart w:id="94" w:name="_Toc432365747"/><w:bookmarkStart w:id="95" w:name="__RefHeading__24282_1557213427"/><w:bookmarkStart w:id="96" w:name="_Toc323928047"/><w:bookmarkEnd w:id="95"/><w:bookmarkEnd w:id="90"/><w:bookmarkEnd w:id="91"/><w:bookmarkEnd w:id="92"/><w:bookmarkEnd w:id="93"/><w:bookmarkEnd w:id="94"/><w:bookmarkEnd w:id="96"/><w:r><w:rPr><w:rFonts w:ascii="Times New Roman" w:hAnsi="Times New Roman"/><w:sz w:val="24"/><w:szCs w:val="24"/></w:rPr><w:t>CAPÍTULO II</w:t></w:r></w:p><w:p><w:pPr><w:pStyle w:val="style1"/><w:spacing w:after="0" w:before="0" w:line="360" w:lineRule="auto"/><w:jc w:val="center"/></w:pPr><w:bookmarkStart w:id="97" w:name="__RefHeading__24284_1557213427"/><w:bookmarkStart w:id="98" w:name="_Toc323928048"/><w:bookmarkStart w:id="99" w:name="_Toc323927331"/><w:bookmarkStart w:id="100" w:name="_Toc323927113"/><w:bookmarkStart w:id="101" w:name="_Toc323926895"/><w:bookmarkStart w:id="102" w:name="_Toc322114582"/><w:bookmarkStart w:id="103" w:name="_Toc432365748"/><w:bookmarkEnd w:id="97"/><w:bookmarkEnd w:id="98"/><w:bookmarkEnd w:id="99"/><w:bookmarkEnd w:id="100"/><w:bookmarkEnd w:id="101"/><w:bookmarkEnd w:id="102"/><w:bookmarkEnd w:id="103"/><w:r><w:rPr><w:rFonts w:ascii="Times New Roman" w:hAnsi="Times New Roman"/><w:sz w:val="24"/><w:szCs w:val="24"/><w:lang w:val="es-ES"/></w:rPr><w:t>MARCO TEÓRICO</w:t></w:r></w:p><w:p><w:pPr><w:pStyle w:val="style0"/></w:pPr><w:r><w:rPr><w:lang w:val="es-ES"/></w:rPr></w:r></w:p><w:p><w:pPr><w:pStyle w:val="style0"/></w:pPr><w:r><w:rPr><w:lang w:val="es-ES"/></w:rPr></w:r></w:p><w:p><w:pPr><w:pStyle w:val="style0"/><w:spacing w:after="0" w:before="0" w:line="360" w:lineRule="auto"/><w:jc w:val="both"/></w:pPr><w:r><w:rPr><w:rFonts w:ascii="Times New Roman" w:hAnsi="Times New Roman"/><w:sz w:val="24"/><w:lang w:val="es-ES"/></w:rPr><w:t xml:space="preserve">     </w:t></w:r><w:bookmarkStart w:id="104" w:name="_Toc323927332"/><w:bookmarkStart w:id="105" w:name="_Toc323927114"/><w:bookmarkStart w:id="106" w:name="_Toc323926896"/><w:bookmarkStart w:id="107" w:name="_Toc322114583"/><w:bookmarkStart w:id="108" w:name="_Toc323928049"/><w:r><w:rPr><w:rFonts w:ascii="Times New Roman" w:hAnsi="Times New Roman"/><w:sz w:val="24"/><w:lang w:val="es-ES"/></w:rPr><w:t>En este capítulo se presentan los antecedentes, que permiten establecer la relación con otras investigaciones asociadas al tema descrito. Adicionalmente, las bases teóricas que fundamentan esta investigación de forma exhaustiva, de acuerdo a las diferentes teorías relacionadas. Seguidamente, se pone de manifiesto las bases legales, que para esta investigación no aplica debido a que se describen los procesos internos de una empresa, sin inmiscuirse en temas macroeconómicos que sugieran de una base legal determinada y finalmente, la definición de términos básicos.</w:t></w:r></w:p><w:p><w:pPr><w:pStyle w:val="style0"/><w:spacing w:after="0" w:before="0" w:line="360" w:lineRule="auto"/><w:jc w:val="both"/></w:pPr><w:r><w:rPr><w:rFonts w:ascii="Times New Roman" w:hAnsi="Times New Roman"/><w:sz w:val="24"/><w:lang w:val="es-ES"/></w:rPr></w:r></w:p><w:p><w:pPr><w:pStyle w:val="style0"/><w:spacing w:after="0" w:before="0" w:line="360" w:lineRule="auto"/><w:jc w:val="both"/></w:pPr><w:bookmarkEnd w:id="104"/><w:bookmarkEnd w:id="105"/><w:bookmarkEnd w:id="106"/><w:bookmarkEnd w:id="107"/><w:bookmarkEnd w:id="108"/><w:r><w:rPr><w:rFonts w:ascii="Times New Roman" w:hAnsi="Times New Roman"/><w:b/><w:sz w:val="24"/><w:szCs w:val="24"/></w:rPr><w:t>Antecedentes</w:t></w:r></w:p><w:p><w:pPr><w:pStyle w:val="style0"/><w:spacing w:after="0" w:before="0" w:line="360" w:lineRule="auto"/><w:jc w:val="both"/></w:pPr><w:r><w:rPr><w:rFonts w:ascii="Times New Roman" w:hAnsi="Times New Roman"/><w:b/><w:sz w:val="24"/><w:lang w:val="es-ES"/></w:rPr></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Para el desarrollo de esta investigación se presenta una serie de revisiones bibliográficas referidas a tesis e informes con títulos similares que ofrecen información que contribuye al planteamiento de esta misiva, con la finalidad de señalar los puntos que se toman como referencia para el desarrollo del tema en estudio.</w:t></w:r></w:p><w:p><w:pPr><w:pStyle w:val="style0"/><w:spacing w:line="360" w:lineRule="auto"/><w:jc w:val="both"/></w:pPr><w:r><w:rPr><w:rFonts w:ascii="Times New Roman" w:hAnsi="Times New Roman"/><w:sz w:val="24"/><w:szCs w:val="24"/></w:rPr><w:t xml:space="preserve">     </w:t></w:r><w:r><w:rPr><w:rFonts w:ascii="Times New Roman" w:hAnsi="Times New Roman"/><w:sz w:val="24"/><w:szCs w:val="24"/></w:rPr><w:t>Primeramente, Rodríguez, B. (2008) presentó su trabajo ante la Facultad de Ciencias Económicas de la Universidad de San Carlos Guatemala titulado “La Planificación y Administración Financiera como Herramienta para el Logro de la Estabilidad Financiera, en una empresa de Diagnósticos Clínicos”, para optar por el título de Contador Público y Auditor.</w:t></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sz w:val="24"/><w:szCs w:val="24"/></w:rPr><w:t xml:space="preserve">     </w:t></w:r><w:r><w:rPr><w:rFonts w:ascii="Times New Roman" w:hAnsi="Times New Roman"/><w:sz w:val="24"/><w:szCs w:val="24"/></w:rPr><w:t xml:space="preserve">En su estudio muestra la forma en que una empresa logra alcanzar la estabilidad financiera y la liquidez monetaria deseada en sus operaciones. Para ello, comienza con la clarificación de los elementos de la planificación financiera, demostrando como los presupuestos conllevan métodos que permitan que se de la realización de los planes financieros establecidos, además de ser la base para controlar los niveles y parámetros de productividad y así poder establecer un nivel de cumplimiento de los objetivos determinados, justificando el uso de una programación presupuestaria como herramienta financiera. Concluyendo que en la organización se ve la necesidad de tener una planificación y administración financiera que concuerde con sus necesidades de tal forma que pueda obtener una estabilidad financiera y alcanzar sus objetivos. La vinculación con esta investigación, resulta de las herramientas que aporta para el logro de la estabilidad financiera en una organización y el cumplimiento de los objetivos establecidos a corto y largo plazo. Esto a través de aplicaciones de gerencia que permitan la integración de cada uno de los actores que hacen vida dentro y fuera de la empresa. </w:t></w:r></w:p><w:p><w:pPr><w:pStyle w:val="style0"/><w:spacing w:line="360" w:lineRule="auto"/><w:jc w:val="both"/></w:pPr><w:r><w:rPr><w:rFonts w:ascii="Times New Roman" w:hAnsi="Times New Roman"/><w:sz w:val="24"/><w:szCs w:val="24"/></w:rPr></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Pérez, L. (2012), por su parte presentó un trabajo en el área de Postgrado de la Facultad de Ciencias Económicas y Sociales de la Universidad de Carabobo, para optar por el Titulo de Magister en Administración de Empresas Mención Finanzas, titulado “Propuesta de Diseño y Aplicabilidad de un Cuadro de Mando Integral (Balanced Scorecard) en la Dirección de Finanzas en la Empresa Corporación Inlaca C.A ubicada en Valencia Edo. Carabobo”. La metodología utilizada fue bajo modalidad de proyecto factible con diseño de campo. </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El autor aplicó una encuesta a 15 personas, en la cual se constató el vacío de información con respecto a los reportes financieros que deben llevarse a cabo en el departamento como método de control y seguimiento, al igual que la disposición de los que laboran allí para mejorar los procesos internos. Por lo tanto, el autor diseñó el Cuadro de Mando Integral desde todas sus perspectivas, recomendando su implantación con el fin de centrar entrando sus esfuerzos en cumplir la Función Básica y Objetivos Estratégicos como departamento, y por ende de la empresa y así, encaminarse  hacia  alcanzar  su Visión. El aporte de este antecedente radica en la importancia del Cuadro de Mando Integral, a niveles específicos de la empresa, que permite un mayor seguimiento de las actividades y metas, coadyuvando a los logros gerenciales establecidos.</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Continuando con las revisiones Malpica, M. (2011), presentó un trabajo en el área de Postgrado de la Facultad de Ciencias Económicas y Sociales de la Universidad de Carabobo, para optar por el Titulo de Magister en Administración de Empresas Mención Finanzas, titulado “Evaluación del Uso de Planes Estratégicos basado en la Aplicación del Cuadro de Mando Integral como Herramienta del Control Administrativo para Optimizar la Gestión Financiera, Caso: Industrias Celta, S.A”. La metodología de esta investigación está enmarcada dentro de un nivel descriptivo, de tipo cuantitativo, con un diseño de campo no experimental. </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El autor aplicó un cuestionario de preguntas cerradas a la población conformada por nueve (9) empleados que laboran en el área administrativa de la empresa, resultando que la empresa posee procedimientos que le permiten desarrollar y controlar sus actividades, por lo que el autor recomienda desarrollar un sistema de gestión que permita medir y controlar los resultados de la organización integrando indicadores financieros y no financieros. Este antecedente, por su parte, aporta el reflejo de la empresa a través de los indicadores financieros y no financieros, los cuales son claves para el cuadro de Mando Integral, con la finalidad de obtener resultados de eficiencia en la organización. </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Por otro lado, Falcón, D. (2009), presentó un trabajo en el área de Postgrado de la Facultad de Ciencias Económicas y Sociales de la Universidad de Carabobo, para optar por el Titulo de Magister en Administración de Empresas Mención Finanzas, titulado “Propuesta de Estrategias Gerenciales para Optimizar la Gestión Financiera de la Empresa Franquicia Technologies Printer Central, C.A, ubicada en la Ciudad de Valencia Estado Carabobo, utilizando como Herramienta de Control el Cuadro de Mando Integral en la actual situación económica de Venezuela”. La metodología empleada fue descriptiva, documental y de campo, la cual conllevó al diseño de propuestas estratégicas para optimizar la gestión financiera del Departamento de Finanzas y Gerencia General de la empresa en estudio. </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El autor realiza un análisis del perfil interno y externo de la empresa lo cual sirvió para la formulación de los objetivos estratégicos planteados en base a dos escenarios, pesimista y optimista. Luego aplicó un cuestionario que le permitió obtener resultados fiables para la implementación del Cuadro de Mando Integral, como herramienta para la incorporación de la planificación estratégica dentro de la organización. Finalmente, realizó la propuesta de indicadores de gestión para el logro de la Misión, Visión y Valores Corporativos. Este antecedente aporta a la investigación, debido al análisis interno y externo del caso en estudio que desarrolla, dando indicios de ser una herramienta factible que se convierte en punto de partida para establecer las propuestas de mejora en la gestión financiera.</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Finalmente, Tocuyo, A. (2009), realizó un trabajo para el área de Postgrado de la Facultad de Ciencias Económicas y Sociales de la Universidad de Carabobo, para optar por el Titulo de Magister en Administración de Empresas Mención Finanzas, titulado “Plan Estratégico para Optimizar el Uso de los Recursos Financieros en empresa del Sector Siderúrgico. Caso Estudio: Recuperadora Delta, C.A”. Esta investigación fue desarrollada bajo la metodología descriptiva y de campo. </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El autor plantea la optimización en el uso de los recursos financieros de la empresa a través de inversiones que le proporcionen mayor rendimiento. Para ello, evalúa la situación actual del manejo de los recursos financieros de la empresa, luego determina los puntos críticos que se originan de las diferentes operaciones administrativas, analiza los mecanismos de control interno existentes y finalmente formula la propuesta que permite optimizar el uso de los recursos financieros, aunado a esto presenta los lineamientos estratégicos que permitan guiar a la empresa hacia una eficaz y eficiente gestión financiera. El aporte de este antecedente se caracteriza por resaltar la importancia del manejo eficiente de los recursos en una organización, lo que conlleva al análisis exhaustivo de las operaciones administrativas, tal y como se pretende con esta investigación. </w:t></w:r></w:p><w:p><w:pPr><w:pStyle w:val="style2"/><w:numPr><w:ilvl w:val="1"/><w:numId w:val="1"/></w:numPr><w:spacing w:after="28" w:before="240"/></w:pPr><w:bookmarkStart w:id="109" w:name="__RefHeading__24286_1557213427"/><w:bookmarkStart w:id="110" w:name="_Toc323928050"/><w:bookmarkStart w:id="111" w:name="_Toc323927333"/><w:bookmarkStart w:id="112" w:name="_Toc323927115"/><w:bookmarkStart w:id="113" w:name="_Toc323926897"/><w:bookmarkStart w:id="114" w:name="_Toc322114584"/><w:bookmarkStart w:id="115" w:name="_Toc432365749"/><w:bookmarkEnd w:id="109"/><w:bookmarkEnd w:id="110"/><w:bookmarkEnd w:id="111"/><w:bookmarkEnd w:id="112"/><w:bookmarkEnd w:id="113"/><w:bookmarkEnd w:id="114"/><w:bookmarkEnd w:id="115"/><w:r><w:rPr><w:rFonts w:ascii="Times New Roman" w:hAnsi="Times New Roman"/><w:i w:val="false"/><w:sz w:val="24"/><w:szCs w:val="24"/></w:rPr><w:t>Bases Teóricas</w:t></w:r></w:p><w:p><w:pPr><w:pStyle w:val="style0"/></w:pPr><w:r><w:rPr></w:rPr></w:r></w:p><w:p><w:pPr><w:pStyle w:val="style0"/><w:spacing w:after="28" w:before="0" w:line="360" w:lineRule="auto"/><w:jc w:val="both"/></w:pPr><w:r><w:rPr><w:rFonts w:ascii="Times New Roman" w:hAnsi="Times New Roman"/><w:sz w:val="24"/><w:szCs w:val="24"/></w:rPr><w:t xml:space="preserve">     </w:t></w:r><w:r><w:rPr><w:rFonts w:ascii="Times New Roman" w:hAnsi="Times New Roman"/><w:sz w:val="24"/><w:szCs w:val="24"/></w:rPr><w:t>En este apartado se desarrolla  la fundamentación teórica, que sirve como base a  esta investigación. Se incorporan los elementos centrales de orden teórico que orientarán el estudio, los cuales están  relacionados con el tema de investigación y el problema.</w:t></w:r></w:p><w:p><w:pPr><w:pStyle w:val="style0"/><w:spacing w:after="28" w:before="0" w:line="360" w:lineRule="auto"/><w:jc w:val="both"/></w:pPr><w:r><w:rPr><w:rFonts w:ascii="Times New Roman" w:hAnsi="Times New Roman"/><w:sz w:val="24"/><w:szCs w:val="24"/></w:rPr></w:r></w:p><w:p><w:pPr><w:pStyle w:val="style0"/><w:spacing w:after="720" w:before="0" w:line="100" w:lineRule="atLeast"/><w:jc w:val="both"/></w:pPr><w:r><w:rPr><w:rFonts w:ascii="Times New Roman" w:hAnsi="Times New Roman"/><w:b/><w:i/><w:sz w:val="24"/><w:szCs w:val="24"/></w:rPr><w:t xml:space="preserve">Administración </w:t></w:r></w:p><w:p><w:pPr><w:pStyle w:val="style0"/><w:spacing w:after="720" w:before="0" w:line="100" w:lineRule="atLeast"/><w:jc w:val="both"/></w:pPr><w:r><w:rPr><w:rFonts w:ascii="Times New Roman" w:hAnsi="Times New Roman"/><w:b/><w:i/><w:sz w:val="24"/><w:szCs w:val="24"/></w:rPr><w:t xml:space="preserve">     </w:t></w:r><w:r><w:rPr><w:rFonts w:ascii="Times New Roman" w:hAnsi="Times New Roman"/><w:sz w:val="24"/><w:szCs w:val="24"/></w:rPr><w:t>Según González (2011), la administración es:</w:t></w:r></w:p><w:p><w:pPr><w:pStyle w:val="style0"/><w:spacing w:after="720" w:before="0" w:line="100" w:lineRule="atLeast"/><w:ind w:hanging="0" w:left="567" w:right="707"/><w:jc w:val="both"/></w:pPr><w:r><w:rPr><w:rFonts w:ascii="Times New Roman" w:hAnsi="Times New Roman"/><w:sz w:val="24"/><w:szCs w:val="24"/></w:rPr><w:t>…</w:t></w:r><w:r><w:rPr><w:rFonts w:ascii="Times New Roman" w:hAnsi="Times New Roman"/><w:sz w:val="24"/><w:szCs w:val="24"/></w:rPr><w:t>el proceso de diseñar y mantener un entorno en el que, trabajando en grupos, los individuos cumplan eficientemente objetivos específicos. La meta principal de la administración debe ser maximizar la riqueza de los accionistas, dueños o propietarios de la empresa, esto significa maximizar el precio de las acciones, además las medidas que maximizan los precios de las acciones también incrementan el bienestar social. (Pág. 28)</w:t></w:r></w:p><w:p><w:pPr><w:pStyle w:val="style0"/><w:spacing w:after="720" w:before="0" w:line="360" w:lineRule="auto"/><w:ind w:hanging="0" w:left="0" w:right="-1"/><w:jc w:val="both"/></w:pPr><w:r><w:rPr><w:rFonts w:ascii="Times New Roman" w:hAnsi="Times New Roman"/><w:sz w:val="24"/><w:szCs w:val="24"/></w:rPr><w:t xml:space="preserve">     </w:t></w:r><w:r><w:rPr><w:rFonts w:ascii="Times New Roman" w:hAnsi="Times New Roman"/><w:sz w:val="24"/><w:szCs w:val="24"/></w:rPr><w:t>Es decir, las organizaciones están conformadas por individuos, cada uno con capacidades diferentes que portan de acuerdo a su función el conocimiento que conlleve al logro principal de la empresa, de forma eficiente a través del uso limitado de recursos para la maximización de beneficios.</w:t></w:r></w:p><w:p><w:pPr><w:pStyle w:val="style0"/><w:spacing w:after="720" w:before="0" w:line="360" w:lineRule="auto"/><w:ind w:hanging="0" w:left="0" w:right="-1"/><w:jc w:val="both"/></w:pPr><w:r><w:rPr><w:rFonts w:ascii="Times New Roman" w:hAnsi="Times New Roman"/><w:sz w:val="24"/><w:szCs w:val="24"/></w:rPr><w:t xml:space="preserve">     </w:t></w:r><w:r><w:rPr><w:rFonts w:ascii="Times New Roman" w:hAnsi="Times New Roman"/><w:sz w:val="24"/><w:szCs w:val="24"/></w:rPr><w:t xml:space="preserve">Sin embargo, esta conducta viene explicada por la evolución de la administración; no fue sino hasta después de la crisis de la Depresión de 1929 que hubo cambios en la concepción de proceso administrativo planteado por Frederyck Taylor cuya investigación se orientó al desarrollo de la llamada </w:t></w:r><w:r><w:rPr><w:rFonts w:ascii="Times New Roman" w:hAnsi="Times New Roman"/><w:i/><w:sz w:val="24"/><w:szCs w:val="24"/></w:rPr><w:t>escuela de administración científica</w:t></w:r><w:r><w:rPr><w:rFonts w:ascii="Times New Roman" w:hAnsi="Times New Roman"/><w:sz w:val="24"/><w:szCs w:val="24"/></w:rPr><w:t xml:space="preserve">, teoría expuesta para 1911 con el fin de aumentar la eficiencia de la industria a través, inicialmente, de la racionalización del trabajo operario y por su parte, Henry Fayol, que en 1916 desarrolló la llamada teoría clásica preocupado por aumentar la eficiencia de su empresa a través de su organización y de la aplicación de principios generales de la administración con bases científicas. Posteriormente, La Teoría General de Sistemas fue el punto de quiebre para el cambio paradigmático que se vivió en el mundo económico, la cual fue adaptada a la administración por Kast y Kahn en 1940. Seguidamente por el desarrollo de la “racionalidad limitada” de Herbert Simon en 1950, ofreciendo un gran aporte a la toma de decisiones a nivel gerencial.  La teoría tradicional de la empresa, tenía un concepto cerrado, no existía interacción con el entorno, a diferencia del nuevo enfoque el cual tiene un sistema abierto que permite dicha interacción y retroalimentación de la misma (Martinez, 2005). Igualmente, la inclusión de otros factores, constituyen otro hallazgo importante de este nuevo enfoque, como lo son la tecnología, incertidumbre del entorno y tamaño de la estrategia. </w:t></w:r></w:p><w:p><w:pPr><w:pStyle w:val="style0"/><w:spacing w:after="720" w:before="0" w:line="360" w:lineRule="auto"/><w:ind w:hanging="0" w:left="0" w:right="-1"/><w:jc w:val="both"/></w:pPr><w:r><w:rPr><w:rFonts w:ascii="Times New Roman" w:hAnsi="Times New Roman"/><w:sz w:val="24"/><w:szCs w:val="24"/></w:rPr><w:t xml:space="preserve">     </w:t></w:r><w:r><w:rPr><w:rFonts w:ascii="Times New Roman" w:hAnsi="Times New Roman"/><w:sz w:val="24"/><w:szCs w:val="24"/></w:rPr><w:t>En otras palabras, según Martínez (2005):</w:t></w:r></w:p><w:p><w:pPr><w:pStyle w:val="style0"/><w:spacing w:after="720" w:before="0" w:line="100" w:lineRule="atLeast"/><w:ind w:hanging="0" w:left="567" w:right="566"/><w:jc w:val="both"/></w:pPr><w:r><w:rPr><w:rFonts w:ascii="Times New Roman" w:hAnsi="Times New Roman"/><w:sz w:val="24"/><w:szCs w:val="24"/></w:rPr><w:t>…</w:t></w:r><w:r><w:rPr><w:rFonts w:ascii="Times New Roman" w:hAnsi="Times New Roman"/><w:sz w:val="24"/><w:szCs w:val="24"/></w:rPr><w:t>es un enfoque organizacional abierto, con énfasis en el ambiente y sus exigencias sobre la dinámica organizacional; que reconoce una constante interacción con el medio, un continuo proceso de intercambio, comunicación y retroalimentación; asume las ideas de auto-control y auto-organización, el reconocimiento del entorno y del ser humano como sujeto de acción (Pag 7)</w:t></w:r></w:p><w:p><w:pPr><w:pStyle w:val="style0"/><w:spacing w:after="720" w:before="0" w:line="100" w:lineRule="atLeast"/><w:jc w:val="both"/></w:pPr><w:r><w:rPr><w:rFonts w:ascii="Times New Roman" w:hAnsi="Times New Roman"/><w:b/><w:i/><w:sz w:val="24"/><w:szCs w:val="24"/></w:rPr><w:t>Administración Financiera</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La administración financiera se puede definir como aquella parte de la administración que vela por los recursos financieros de la empresa. Esta se centra en dos aspectos importantes de los recursos financieros como lo son la rentabilidad y la liquidez. Es decir, se busca hacer que los recursos financieros sean lucrativos y líquidos al mismo tiempo. La toma de decisiones, por tanto, debe estar orientada a aspectos importantes como la inversión y el financiamiento y a su vez, al manejo operativo de la empresa que garantice la producción del bien o servicio, en función a lo establecido como objetivo. </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Altuve  (1996:11) menciona que la administración financiera en conjunto con otras áreas de una organización contribuye a la “elección de productos, su manufactura, comercialización y venta”. Igualmente, el autor indica que se procura “… la obtención de fondos a bajo costo y de manera eficiente, es decir, se requiere la optimización del dinero, como recurso o energía cuyo costo de oportunidad y de racionalidad, le convierte en una área de manejo estratégico”.</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En consecuencia, Altuve (1996), define a la administración financiera o finanzas como comúnmente lo denominan, así:</w:t></w:r></w:p><w:p><w:pPr><w:pStyle w:val="style0"/><w:spacing w:after="720" w:before="0" w:line="100" w:lineRule="atLeast"/><w:ind w:hanging="0" w:left="567" w:right="566"/><w:jc w:val="both"/></w:pPr><w:r><w:rPr><w:rFonts w:ascii="Times New Roman" w:hAnsi="Times New Roman"/><w:sz w:val="24"/><w:szCs w:val="24"/></w:rPr><w:t>A</w:t></w:r><w:r><w:rPr><w:rFonts w:ascii="Times New Roman" w:hAnsi="Times New Roman"/><w:sz w:val="24"/><w:szCs w:val="24"/><w:lang w:val="es-VE"/></w:rPr><w:t>quella disciplina que de manera formal utiliza recursos financieros, los coloca y decide después de cierto período de tiempo, qué remanente real le ha permitido a la organización crecer y fortalecerse para sí y para el entorno en el cual se desenvuelve, gracias a la interacción y proactividad del hombre, como máximo exponente de actuación (p- 6)</w:t></w:r></w:p><w:p><w:pPr><w:pStyle w:val="style0"/><w:spacing w:after="28" w:before="0" w:line="360" w:lineRule="auto"/><w:jc w:val="both"/></w:pPr><w:r><w:rPr><w:rFonts w:ascii="Times New Roman" w:hAnsi="Times New Roman"/><w:b/><w:i/><w:sz w:val="24"/><w:szCs w:val="24"/></w:rPr><w:t>Planificación Financiera</w:t></w:r></w:p><w:p><w:pPr><w:pStyle w:val="style0"/><w:spacing w:line="360" w:lineRule="auto"/><w:jc w:val="both"/></w:pPr><w:r><w:rPr><w:rFonts w:ascii="Times New Roman" w:hAnsi="Times New Roman"/><w:b/><w:sz w:val="24"/><w:szCs w:val="24"/></w:rPr></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Antes de hablar de planificación financiera se debe hacer referencia al término “planeación”, siendo este el elemento que define las necesidades de una empresa u organización en el futuro. Por lo tanto a continuación se muestra su significado, según Steiner (1983): </w:t></w:r></w:p><w:p><w:pPr><w:pStyle w:val="style0"/><w:spacing w:after="720" w:before="0" w:line="100" w:lineRule="atLeast"/><w:ind w:hanging="0" w:left="567" w:right="566"/><w:jc w:val="both"/></w:pPr><w:r><w:rPr><w:rFonts w:ascii="Times New Roman" w:eastAsia="Times New Roman" w:hAnsi="Times New Roman"/><w:iCs/><w:color w:val="000000"/><w:sz w:val="24"/><w:szCs w:val="24"/><w:lang w:eastAsia="es-ES"/></w:rPr><w:t>Es el esfuerzo sistemático y más o menos formal de una compañía para establecer sus propósitos, objetivos políticas y estrategias básicas para desarrollar planes detallados con el fin de poner en práctica las políticas y estrategias y así lograr los objetivos y propósitos básicos de la compañía</w:t></w:r><w:r><w:rPr><w:rFonts w:ascii="Times New Roman" w:eastAsia="Times New Roman" w:hAnsi="Times New Roman"/><w:color w:val="000000"/><w:sz w:val="24"/><w:szCs w:val="24"/><w:lang w:eastAsia="es-ES"/></w:rPr><w:t>. (p-1)</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Luego de conocer que la planeación permite identificar cuáles son las acciones para alcanzar los objetivos que la organización se ha propuesto, estableciendo un plan de acción en el cual se definan los recursos humanos, financieros y tiempo; se debe ir más específico al desarrollar el concepto de planificación financiera.</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La planificación financiera constituye un conjunto de elementos relacionados y necesarios para la financiación, tales como la producción, comercialización, recursos humanos empleados y diseño de la organización. Weston en Quintero (s/f), define que la planificación financiera “implica la elaboración de proyecciones de ventas, ingresos y activos tomando como base estrategias alternativas de producción y mercadotecnia, así como la determinación de los recursos que se necesitan para lograr estas proyecciones.”</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Al igual que la dirección se plantea una serie de pasos para el logro de la planificación financiera, los cuales están establecidos en el Informe de </w:t></w:r><w:r><w:rPr><w:rFonts w:ascii="Times New Roman" w:hAnsi="Times New Roman"/><w:iCs/><w:color w:val="000000"/><w:sz w:val="24"/><w:szCs w:val="24"/></w:rPr><w:t xml:space="preserve">Redes de Micro Organizaciones Grupo </w:t></w:r><w:r><w:rPr><w:rFonts w:ascii="Times New Roman" w:hAnsi="Times New Roman"/><w:iCs/><w:sz w:val="24"/><w:szCs w:val="24"/></w:rPr><w:t>Somosaguas</w:t></w:r><w:r><w:rPr><w:rFonts w:ascii="Times New Roman" w:hAnsi="Times New Roman"/><w:sz w:val="24"/><w:szCs w:val="24"/></w:rPr><w:t>:</w:t></w:r></w:p><w:p><w:pPr><w:pStyle w:val="style41"/><w:numPr><w:ilvl w:val="0"/><w:numId w:val="3"/></w:numPr><w:spacing w:after="720" w:before="0" w:line="360" w:lineRule="auto"/><w:jc w:val="both"/></w:pPr><w:r><w:rPr><w:rFonts w:ascii="Times New Roman" w:hAnsi="Times New Roman"/><w:sz w:val="24"/><w:szCs w:val="24"/></w:rPr><w:t>Concreción de los objetivos financieros a corto y largo plazo.</w:t></w:r></w:p><w:p><w:pPr><w:pStyle w:val="style41"/><w:numPr><w:ilvl w:val="0"/><w:numId w:val="3"/></w:numPr><w:spacing w:after="0" w:before="0" w:line="360" w:lineRule="auto"/><w:jc w:val="both"/></w:pPr><w:r><w:rPr><w:rFonts w:ascii="Times New Roman" w:hAnsi="Times New Roman"/><w:sz w:val="24"/><w:szCs w:val="24"/></w:rPr><w:t>Confección de normas de actuación o restricciones respecto a las magnitudes financieras.</w:t></w:r></w:p><w:p><w:pPr><w:pStyle w:val="style41"/><w:numPr><w:ilvl w:val="0"/><w:numId w:val="3"/></w:numPr><w:spacing w:after="0" w:before="0" w:line="360" w:lineRule="auto"/><w:jc w:val="both"/></w:pPr><w:r><w:rPr><w:rFonts w:ascii="Times New Roman" w:hAnsi="Times New Roman"/><w:sz w:val="24"/><w:szCs w:val="24"/></w:rPr><w:t>Toma de decisiones sobre las actuaciones concretas y gestión para la consecución de los resultados.</w:t></w:r></w:p><w:p><w:pPr><w:pStyle w:val="style41"/><w:numPr><w:ilvl w:val="0"/><w:numId w:val="3"/></w:numPr><w:spacing w:after="720" w:before="0" w:line="360" w:lineRule="auto"/><w:jc w:val="both"/></w:pPr><w:r><w:rPr><w:rFonts w:ascii="Times New Roman" w:hAnsi="Times New Roman"/><w:sz w:val="24"/><w:szCs w:val="24"/></w:rPr><w:t>Control de los resultados de las decisiones; y, en caso de desviaciones respecto a lo proyectado, corrección.</w:t></w:r></w:p><w:p><w:pPr><w:pStyle w:val="style0"/><w:spacing w:line="360" w:lineRule="auto"/><w:jc w:val="both"/></w:pPr><w:r><w:rPr><w:rFonts w:ascii="Times New Roman" w:hAnsi="Times New Roman"/><w:sz w:val="24"/><w:szCs w:val="24"/></w:rPr><w:t xml:space="preserve">     </w:t></w:r><w:r><w:rPr><w:rFonts w:ascii="Times New Roman" w:hAnsi="Times New Roman"/><w:sz w:val="24"/><w:szCs w:val="24"/></w:rPr><w:t xml:space="preserve">El objetivo de cualquier organización al elaborar su planificación financiera consiste, según Quintero (2009) en prever el riesgo al mínimo posible y aprovechar las oportunidades que ofrecen los recursos con los que se cuentan, para así identificar las necesidades financieras futuras y buscar el máximo rendimiento. En las organizaciones modernas, el sistema presupuestario es una gran herramienta para el logro de los objetivos planteados. </w:t></w:r></w:p><w:p><w:pPr><w:pStyle w:val="style0"/><w:spacing w:line="360" w:lineRule="auto"/><w:jc w:val="both"/></w:pPr><w:r><w:rPr><w:rFonts w:ascii="Times New Roman" w:hAnsi="Times New Roman"/><w:sz w:val="24"/><w:szCs w:val="24"/></w:rPr></w:r></w:p><w:p><w:pPr><w:pStyle w:val="style0"/><w:spacing w:after="28" w:before="0" w:line="360" w:lineRule="auto"/><w:jc w:val="both"/></w:pPr><w:r><w:rPr><w:rFonts w:ascii="Times New Roman" w:hAnsi="Times New Roman"/><w:b/><w:i/><w:sz w:val="24"/><w:szCs w:val="24"/></w:rPr><w:t>Indicadores Financieros</w:t></w:r></w:p><w:p><w:pPr><w:pStyle w:val="style0"/><w:spacing w:line="360" w:lineRule="auto"/><w:jc w:val="both"/></w:pPr><w:r><w:rPr><w:rFonts w:ascii="Times New Roman" w:hAnsi="Times New Roman"/><w:sz w:val="24"/><w:szCs w:val="24"/></w:rPr><w:t xml:space="preserve">A continuación se describen los indicadores financieros que son calculados en el Capítulo III de esta misiva. </w:t></w:r><w:r><w:rPr><w:rFonts w:ascii="Times New Roman" w:hAnsi="Times New Roman"/><w:sz w:val="24"/><w:szCs w:val="24"/><w:lang w:val="es-ES"/></w:rPr><w:t>Los indicadores se integran en cuatro (4) grandes grupos (Sánchez, s/f):</w:t></w:r></w:p><w:p><w:pPr><w:pStyle w:val="style0"/><w:numPr><w:ilvl w:val="0"/><w:numId w:val="5"/></w:numPr><w:spacing w:line="360" w:lineRule="auto"/><w:jc w:val="both"/></w:pPr><w:r><w:rPr><w:rFonts w:ascii="Times New Roman" w:hAnsi="Times New Roman"/><w:b/><w:sz w:val="24"/><w:szCs w:val="24"/><w:lang w:val="es-ES"/></w:rPr><w:t>Razones de Liquidez</w:t></w:r><w:r><w:rPr><w:rFonts w:ascii="Times New Roman" w:hAnsi="Times New Roman"/><w:sz w:val="24"/><w:szCs w:val="24"/><w:lang w:val="es-ES"/></w:rPr><w:t>:</w:t></w:r></w:p><w:p><w:pPr><w:pStyle w:val="style0"/><w:spacing w:line="360" w:lineRule="auto"/><w:ind w:hanging="0" w:left="720" w:right="0"/><w:jc w:val="both"/></w:pPr><w:r><w:rPr><w:rFonts w:ascii="Times New Roman" w:hAnsi="Times New Roman"/><w:sz w:val="24"/><w:szCs w:val="24"/><w:lang w:val="es-ES"/></w:rPr><w:t>Según Sánchez (s/f), las razones de liquidez:</w:t></w:r></w:p><w:p><w:pPr><w:pStyle w:val="style0"/><w:spacing w:line="100" w:lineRule="atLeast"/><w:ind w:hanging="0" w:left="1134" w:right="566"/><w:jc w:val="both"/></w:pPr><w:r><w:rPr><w:rFonts w:ascii="Times New Roman" w:hAnsi="Times New Roman"/><w:sz w:val="24"/><w:szCs w:val="24"/><w:lang w:val="es-ES"/></w:rPr><w:t>“</w:t></w:r><w:r><w:rPr><w:rFonts w:ascii="Times New Roman" w:hAnsi="Times New Roman"/><w:sz w:val="24"/><w:szCs w:val="24"/><w:lang w:val="es-ES"/></w:rPr><w:t>Miden la capacidad de la empresa para satisfacer o cubrir sus obligaciones a corto plazo, en función a la tenencia de activos líquidos, mas no a la capacidad de generación de efectivo” (p-1).</w:t></w:r></w:p><w:p><w:pPr><w:pStyle w:val="style0"/><w:spacing w:after="0" w:before="0" w:line="360" w:lineRule="auto"/><w:ind w:hanging="0" w:left="0" w:right="-1"/><w:jc w:val="both"/></w:pPr><w:r><w:rPr><w:rFonts w:ascii="Times New Roman" w:hAnsi="Times New Roman"/><w:sz w:val="24"/><w:szCs w:val="24"/><w:lang w:val="es-ES"/></w:rPr><w:t>De acuerdo a la información financiera que se posee, los indicadores de liquidez que se calculan son:</w:t></w:r></w:p><w:p><w:pPr><w:pStyle w:val="style0"/><w:numPr><w:ilvl w:val="0"/><w:numId w:val="6"/></w:numPr><w:spacing w:after="0" w:before="0" w:line="360" w:lineRule="auto"/><w:ind w:hanging="0" w:left="0" w:right="-1"/><w:jc w:val="both"/></w:pPr><w:r><w:rPr><w:rFonts w:ascii="Times New Roman" w:hAnsi="Times New Roman"/><w:sz w:val="24"/><w:szCs w:val="24"/><w:u w:val="single"/><w:lang w:val="es-ES"/></w:rPr><w:t>Capital de Trabajo</w:t></w:r><w:r><w:rPr><w:rFonts w:ascii="Times New Roman" w:hAnsi="Times New Roman"/><w:sz w:val="24"/><w:szCs w:val="24"/><w:lang w:val="es-ES"/></w:rPr><w:t>: “representa la inversión neta en recursos circulantes, producto de las decisiones de inversión y financiamiento a corto plazo” (p-1).</w:t></w:r></w:p><w:p><w:pPr><w:pStyle w:val="style0"/><w:spacing w:after="0" w:before="0" w:line="360" w:lineRule="auto"/><w:ind w:hanging="0" w:left="0" w:right="-1"/><w:jc w:val="both"/></w:pPr><w:r><w:rPr><w:rFonts w:ascii="Times New Roman" w:hAnsi="Times New Roman"/><w:sz w:val="24"/><w:szCs w:val="24"/><w:lang w:val="es-ES"/></w:rPr><w:t xml:space="preserve">Fórmula: </w:t></w:r></w:p><w:p><w:pPr><w:pStyle w:val="style0"/><w:spacing w:after="0" w:before="0" w:line="360" w:lineRule="auto"/><w:ind w:hanging="0" w:left="0" w:right="-1"/><w:jc w:val="center"/></w:pPr><w:r><w:rPr><w:rFonts w:ascii="Times New Roman" w:hAnsi="Times New Roman"/><w:b/><w:sz w:val="24"/><w:szCs w:val="24"/><w:lang w:val="es-ES"/></w:rPr><w:t>Capital de Trabajo ═ Activo Circulante-Pasivo Circulante</w:t></w:r></w:p><w:p><w:pPr><w:pStyle w:val="style0"/><w:spacing w:after="0" w:before="0" w:line="360" w:lineRule="auto"/><w:ind w:hanging="0" w:left="0" w:right="-1"/><w:jc w:val="center"/></w:pPr><w:r><w:rPr><w:rFonts w:ascii="Times New Roman" w:hAnsi="Times New Roman"/><w:sz w:val="24"/><w:szCs w:val="24"/><w:lang w:val="es-ES"/></w:rPr></w:r></w:p><w:p><w:pPr><w:pStyle w:val="style0"/><w:numPr><w:ilvl w:val="0"/><w:numId w:val="6"/></w:numPr><w:spacing w:after="0" w:before="0" w:line="360" w:lineRule="auto"/><w:ind w:hanging="0" w:left="0" w:right="-1"/><w:jc w:val="both"/></w:pPr><w:r><w:rPr><w:rFonts w:ascii="Times New Roman" w:hAnsi="Times New Roman"/><w:sz w:val="24"/><w:szCs w:val="24"/><w:u w:val="single"/><w:lang w:val="es-ES"/></w:rPr><w:t>Razón Circulante</w:t></w:r><w:r><w:rPr><w:rFonts w:ascii="Times New Roman" w:hAnsi="Times New Roman"/><w:sz w:val="24"/><w:szCs w:val="24"/><w:lang w:val="es-ES"/></w:rPr><w:t>: “mide el número de unidades monetarias de inversión a corto plazo, por cada unidad de financiamiento a corto plazo contraído” (p-1).</w:t></w:r></w:p><w:p><w:pPr><w:pStyle w:val="style0"/><w:spacing w:after="0" w:before="0" w:line="360" w:lineRule="auto"/><w:ind w:hanging="0" w:left="0" w:right="-1"/><w:jc w:val="both"/></w:pPr><w:r><w:rPr><w:rFonts w:ascii="Times New Roman" w:hAnsi="Times New Roman"/><w:sz w:val="24"/><w:szCs w:val="24"/><w:lang w:val="es-ES"/></w:rPr><w:t>Fórmula:</w:t></w:r></w:p><w:p><w:pPr><w:pStyle w:val="style0"/><w:spacing w:after="0" w:before="0" w:line="360" w:lineRule="auto"/><w:ind w:hanging="0" w:left="0" w:right="-1"/><w:jc w:val="center"/></w:pPr><w:r><w:rPr><w:rFonts w:ascii="Times New Roman" w:hAnsi="Times New Roman"/><w:b/><w:sz w:val="24"/><w:szCs w:val="24"/><w:lang w:val="es-ES"/></w:rPr><w:t>Razón Circulante ═ Activo Circulante / Pasivo Circulante</w:t></w:r></w:p><w:p><w:pPr><w:pStyle w:val="style0"/><w:spacing w:after="0" w:before="0" w:line="360" w:lineRule="auto"/><w:ind w:hanging="0" w:left="0" w:right="-1"/><w:jc w:val="both"/></w:pPr><w:r><w:rPr><w:rFonts w:ascii="Times New Roman" w:hAnsi="Times New Roman"/><w:sz w:val="24"/><w:szCs w:val="24"/><w:lang w:val="es-ES"/></w:rPr></w:r></w:p><w:p><w:pPr><w:pStyle w:val="style0"/><w:numPr><w:ilvl w:val="0"/><w:numId w:val="6"/></w:numPr><w:spacing w:after="0" w:before="0" w:line="360" w:lineRule="auto"/><w:ind w:hanging="0" w:left="0" w:right="-1"/><w:jc w:val="both"/></w:pPr><w:r><w:rPr><w:rFonts w:ascii="Times New Roman" w:hAnsi="Times New Roman"/><w:sz w:val="24"/><w:szCs w:val="24"/><w:lang w:val="es-ES"/></w:rPr><w:t xml:space="preserve"> </w:t></w:r><w:r><w:rPr><w:rFonts w:ascii="Times New Roman" w:hAnsi="Times New Roman"/><w:sz w:val="24"/><w:szCs w:val="24"/><w:u w:val="single"/><w:lang w:val="es-ES"/></w:rPr><w:t>Prueba súper ácida</w:t></w:r><w:r><w:rPr><w:rFonts w:ascii="Times New Roman" w:hAnsi="Times New Roman"/><w:sz w:val="24"/><w:szCs w:val="24"/><w:lang w:val="es-ES"/></w:rPr><w:t>: “mide el número de unidades monetarias en activos efectivamente líquidos, por cada unidad monetaria de deuda a corto plazo” (p-2).</w:t></w:r></w:p><w:p><w:pPr><w:pStyle w:val="style0"/><w:spacing w:after="0" w:before="0" w:line="360" w:lineRule="auto"/><w:ind w:hanging="0" w:left="0" w:right="-1"/><w:jc w:val="both"/></w:pPr><w:r><w:rPr><w:rFonts w:ascii="Times New Roman" w:hAnsi="Times New Roman"/><w:sz w:val="24"/><w:szCs w:val="24"/><w:lang w:val="es-ES"/></w:rPr><w:t xml:space="preserve">Fórmula: </w:t></w:r></w:p><w:p><w:pPr><w:pStyle w:val="style0"/><w:spacing w:after="0" w:before="0" w:line="360" w:lineRule="auto"/><w:ind w:hanging="0" w:left="0" w:right="-1"/><w:jc w:val="center"/></w:pPr><w:r><w:rPr><w:rFonts w:ascii="Times New Roman" w:hAnsi="Times New Roman"/><w:b/><w:sz w:val="24"/><w:szCs w:val="24"/><w:lang w:val="es-ES"/></w:rPr><w:t>Prueba Súper Ácida = (Efectivo y equivalente de efectivo + Cuentas por cobrar)/Pasivo Circulante)</w:t></w:r></w:p><w:p><w:pPr><w:pStyle w:val="style0"/><w:spacing w:after="0" w:before="0" w:line="360" w:lineRule="auto"/><w:ind w:hanging="0" w:left="0" w:right="-1"/><w:jc w:val="both"/></w:pPr><w:r><w:rPr><w:rFonts w:ascii="Times New Roman" w:hAnsi="Times New Roman"/><w:sz w:val="24"/><w:szCs w:val="24"/><w:lang w:val="es-ES"/></w:rPr></w:r></w:p><w:p><w:pPr><w:pStyle w:val="style0"/><w:numPr><w:ilvl w:val="0"/><w:numId w:val="7"/></w:numPr><w:spacing w:after="0" w:before="0" w:line="360" w:lineRule="auto"/><w:ind w:hanging="0" w:left="0" w:right="-1"/><w:jc w:val="both"/></w:pPr><w:r><w:rPr><w:rFonts w:ascii="Times New Roman" w:hAnsi="Times New Roman"/><w:sz w:val="24"/><w:szCs w:val="24"/><w:u w:val="single"/><w:lang w:val="es-ES"/></w:rPr><w:t>Razón fondo de maniobra</w:t></w:r><w:r><w:rPr><w:rFonts w:ascii="Times New Roman" w:hAnsi="Times New Roman"/><w:sz w:val="24"/><w:szCs w:val="24"/><w:lang w:val="es-ES"/></w:rPr><w:t>: “mide la inversión neta en recursos circulantes, con relación a la inversión bruta total” (p-2).</w:t></w:r></w:p><w:p><w:pPr><w:pStyle w:val="style0"/><w:spacing w:after="0" w:before="0" w:line="360" w:lineRule="auto"/><w:ind w:hanging="0" w:left="0" w:right="-1"/><w:jc w:val="both"/></w:pPr><w:r><w:rPr><w:rFonts w:ascii="Times New Roman" w:hAnsi="Times New Roman"/><w:sz w:val="24"/><w:szCs w:val="24"/><w:lang w:val="es-ES"/></w:rPr><w:t xml:space="preserve">Fórmula: </w:t></w:r></w:p><w:p><w:pPr><w:pStyle w:val="style0"/><w:spacing w:after="0" w:before="0" w:line="360" w:lineRule="auto"/><w:ind w:hanging="0" w:left="720" w:right="-1"/><w:jc w:val="center"/></w:pPr><w:r><w:rPr><w:rFonts w:ascii="Times New Roman" w:hAnsi="Times New Roman"/><w:b/><w:sz w:val="24"/><w:szCs w:val="24"/><w:lang w:val="es-ES"/></w:rPr><w:t>Razón de fondo de maniobra = capital de trabajo/ total activo</w:t></w:r></w:p><w:p><w:pPr><w:pStyle w:val="style0"/><w:spacing w:after="0" w:before="0" w:line="360" w:lineRule="auto"/><w:ind w:hanging="0" w:left="0" w:right="-1"/><w:jc w:val="both"/></w:pPr><w:r><w:rPr><w:rFonts w:ascii="Times New Roman" w:hAnsi="Times New Roman"/><w:i/><w:sz w:val="24"/><w:szCs w:val="24"/><w:lang w:val="es-ES"/></w:rPr></w:r></w:p><w:p><w:pPr><w:pStyle w:val="style0"/><w:numPr><w:ilvl w:val="0"/><w:numId w:val="5"/></w:numPr><w:spacing w:line="360" w:lineRule="auto"/><w:ind w:hanging="0" w:left="0" w:right="-1"/><w:jc w:val="both"/></w:pPr><w:r><w:rPr><w:rFonts w:ascii="Times New Roman" w:hAnsi="Times New Roman"/><w:b/><w:sz w:val="24"/><w:szCs w:val="24"/><w:lang w:val="es-ES"/></w:rPr><w:t>Razones de apalancamiento</w:t></w:r><w:r><w:rPr><w:rFonts w:ascii="Times New Roman" w:hAnsi="Times New Roman"/><w:sz w:val="24"/><w:szCs w:val="24"/><w:lang w:val="es-ES"/></w:rPr><w:t>:</w:t></w:r></w:p><w:p><w:pPr><w:pStyle w:val="style0"/><w:spacing w:line="360" w:lineRule="auto"/><w:ind w:hanging="0" w:left="720" w:right="0"/><w:jc w:val="both"/></w:pPr><w:r><w:rPr><w:rFonts w:ascii="Times New Roman" w:hAnsi="Times New Roman"/><w:sz w:val="24"/><w:szCs w:val="24"/><w:lang w:val="es-ES"/></w:rPr><w:t>Según Sánchez (s/f), las razones de apalancamiento:</w:t></w:r></w:p><w:p><w:pPr><w:pStyle w:val="style0"/><w:spacing w:line="100" w:lineRule="atLeast"/><w:ind w:hanging="0" w:left="720" w:right="566"/><w:jc w:val="both"/></w:pPr><w:r><w:rPr><w:rFonts w:ascii="Times New Roman" w:hAnsi="Times New Roman"/><w:sz w:val="24"/><w:szCs w:val="24"/><w:lang w:val="es-ES"/></w:rPr><w:t>“</w:t></w:r><w:r><w:rPr><w:rFonts w:ascii="Times New Roman" w:hAnsi="Times New Roman"/><w:sz w:val="24"/><w:szCs w:val="24"/><w:lang w:val="es-ES"/></w:rPr><w:t>Miden el grado o la forma en que los activos de la empresa han sido financiados, considerando tanto la contribución de terceros (endeudamiento) como la de los propietarios (patrimonio)” (p-2).</w:t></w:r></w:p><w:p><w:pPr><w:pStyle w:val="style0"/><w:spacing w:after="0" w:before="0" w:line="360" w:lineRule="auto"/><w:ind w:hanging="0" w:left="0" w:right="-1"/><w:jc w:val="both"/></w:pPr><w:r><w:rPr><w:rFonts w:ascii="Times New Roman" w:hAnsi="Times New Roman"/><w:sz w:val="24"/><w:szCs w:val="24"/><w:lang w:val="es-ES"/></w:rPr><w:t>De acuerdo a la información financiera que se posee, los indicadores de apalancamiento que se calculan son:</w:t></w:r></w:p><w:p><w:pPr><w:pStyle w:val="style0"/><w:spacing w:line="360" w:lineRule="auto"/><w:ind w:hanging="0" w:left="0" w:right="-1"/><w:jc w:val="both"/></w:pPr><w:r><w:rPr><w:rFonts w:ascii="Times New Roman" w:hAnsi="Times New Roman"/><w:sz w:val="24"/><w:szCs w:val="24"/><w:lang w:val="es-ES"/></w:rPr></w:r></w:p><w:p><w:pPr><w:pStyle w:val="style0"/><w:numPr><w:ilvl w:val="0"/><w:numId w:val="7"/></w:numPr><w:spacing w:line="360" w:lineRule="auto"/><w:ind w:hanging="0" w:left="0" w:right="-1"/><w:jc w:val="both"/></w:pPr><w:r><w:rPr><w:rFonts w:ascii="Times New Roman" w:hAnsi="Times New Roman"/><w:sz w:val="24"/><w:szCs w:val="24"/><w:u w:val="single"/><w:lang w:val="es-ES"/></w:rPr><w:t>Razón de endeudamiento</w:t></w:r><w:r><w:rPr><w:rFonts w:ascii="Times New Roman" w:hAnsi="Times New Roman"/><w:sz w:val="24"/><w:szCs w:val="24"/><w:lang w:val="es-ES"/></w:rPr><w:t>: “mide la proporción de la inversión de la empresa que ha sido financiada, por deuda, por lo cual se acostumbre presentar en forma de porcentajes” (p-2).</w:t></w:r></w:p><w:p><w:pPr><w:pStyle w:val="style0"/><w:spacing w:line="360" w:lineRule="auto"/><w:ind w:hanging="0" w:left="0" w:right="-1"/><w:jc w:val="both"/></w:pPr><w:r><w:rPr><w:rFonts w:ascii="Times New Roman" w:hAnsi="Times New Roman"/><w:sz w:val="24"/><w:szCs w:val="24"/><w:lang w:val="es-ES"/></w:rPr><w:t xml:space="preserve">Fórmula: </w:t></w:r></w:p><w:p><w:pPr><w:pStyle w:val="style0"/><w:spacing w:line="360" w:lineRule="auto"/><w:ind w:hanging="0" w:left="0" w:right="-1"/><w:jc w:val="center"/></w:pPr><w:r><w:rPr><w:rFonts w:ascii="Times New Roman" w:hAnsi="Times New Roman"/><w:b/><w:sz w:val="24"/><w:szCs w:val="24"/><w:lang w:val="es-ES"/></w:rPr><w:t>Endeudamiento = Total pasivo/ Total activo</w:t></w:r></w:p><w:p><w:pPr><w:pStyle w:val="style0"/><w:numPr><w:ilvl w:val="0"/><w:numId w:val="7"/></w:numPr><w:spacing w:after="0" w:before="0" w:line="360" w:lineRule="auto"/><w:ind w:hanging="0" w:left="0" w:right="-1"/><w:jc w:val="both"/></w:pPr><w:r><w:rPr><w:rFonts w:ascii="Times New Roman" w:hAnsi="Times New Roman"/><w:sz w:val="24"/><w:szCs w:val="24"/><w:u w:val="single"/><w:lang w:val="es-ES"/></w:rPr><w:t>Razón de apalancamiento externo</w:t></w:r><w:r><w:rPr><w:rFonts w:ascii="Times New Roman" w:hAnsi="Times New Roman"/><w:sz w:val="24"/><w:szCs w:val="24"/><w:lang w:val="es-ES"/></w:rPr><w:t xml:space="preserve">: “mide la relación entre la utilización del endeudamiento como mecanismo de financiación y la utilización de los fondos de los propietarios. Indica cuantas unidades monetarias han venido de afuera del negocio, por cada unidad monetaria provista por los propietarios” (p-2). </w:t></w:r></w:p><w:p><w:pPr><w:pStyle w:val="style0"/><w:spacing w:line="360" w:lineRule="auto"/><w:ind w:hanging="0" w:left="0" w:right="-1"/><w:jc w:val="both"/></w:pPr><w:r><w:rPr><w:rFonts w:ascii="Times New Roman" w:hAnsi="Times New Roman"/><w:sz w:val="24"/><w:szCs w:val="24"/><w:lang w:val="es-ES"/></w:rPr><w:t xml:space="preserve">Fórmula: </w:t></w:r></w:p><w:p><w:pPr><w:pStyle w:val="style0"/><w:spacing w:line="360" w:lineRule="auto"/><w:ind w:hanging="0" w:left="0" w:right="-1"/><w:jc w:val="center"/></w:pPr><w:r><w:rPr><w:rFonts w:ascii="Times New Roman" w:hAnsi="Times New Roman"/><w:b/><w:sz w:val="24"/><w:szCs w:val="24"/><w:lang w:val="es-ES"/></w:rPr><w:t>Apalancamiento externo = Total pasivo/ Total patrimonio</w:t></w:r></w:p><w:p><w:pPr><w:pStyle w:val="style0"/><w:numPr><w:ilvl w:val="0"/><w:numId w:val="7"/></w:numPr><w:spacing w:after="0" w:before="0" w:line="360" w:lineRule="auto"/><w:ind w:hanging="0" w:left="0" w:right="-1"/><w:jc w:val="both"/></w:pPr><w:r><w:rPr><w:rFonts w:ascii="Times New Roman" w:hAnsi="Times New Roman"/><w:sz w:val="24"/><w:szCs w:val="24"/><w:u w:val="single"/><w:lang w:val="es-ES"/></w:rPr><w:t>Razón de apalancamiento interno</w:t></w:r><w:r><w:rPr><w:rFonts w:ascii="Times New Roman" w:hAnsi="Times New Roman"/><w:sz w:val="24"/><w:szCs w:val="24"/><w:lang w:val="es-ES"/></w:rPr><w:t>: representa “cuantas unidades monetarias han sido aportadas al financiamiento de la inversión por los accionistas, por cada unidad monetaria tomada de terceros” (p-2).</w:t></w:r></w:p><w:p><w:pPr><w:pStyle w:val="style0"/><w:spacing w:line="360" w:lineRule="auto"/><w:ind w:hanging="0" w:left="0" w:right="-1"/><w:jc w:val="both"/></w:pPr><w:r><w:rPr><w:rFonts w:ascii="Times New Roman" w:hAnsi="Times New Roman"/><w:sz w:val="24"/><w:szCs w:val="24"/><w:lang w:val="es-ES"/></w:rPr><w:t xml:space="preserve">Fórmula: </w:t></w:r></w:p><w:p><w:pPr><w:pStyle w:val="style0"/><w:spacing w:after="0" w:before="0" w:line="360" w:lineRule="auto"/><w:jc w:val="center"/></w:pPr><w:r><w:rPr><w:rFonts w:ascii="Times New Roman" w:hAnsi="Times New Roman"/><w:b/><w:sz w:val="24"/><w:szCs w:val="24"/><w:lang w:val="es-ES"/></w:rPr><w:t>Apalancamiento interno = Total patrimonio/Total pasivo</w:t></w:r></w:p><w:p><w:pPr><w:pStyle w:val="style0"/><w:spacing w:after="0" w:before="0" w:line="360" w:lineRule="auto"/><w:ind w:hanging="0" w:left="720" w:right="0"/><w:jc w:val="both"/></w:pPr><w:r><w:rPr><w:rFonts w:ascii="Times New Roman" w:hAnsi="Times New Roman"/><w:sz w:val="24"/><w:szCs w:val="24"/><w:lang w:val="es-ES"/></w:rPr></w:r></w:p><w:p><w:pPr><w:pStyle w:val="style0"/><w:numPr><w:ilvl w:val="0"/><w:numId w:val="5"/></w:numPr><w:spacing w:after="0" w:before="0" w:line="360" w:lineRule="auto"/><w:jc w:val="both"/></w:pPr><w:r><w:rPr><w:rFonts w:ascii="Times New Roman" w:hAnsi="Times New Roman"/><w:b/><w:sz w:val="24"/><w:szCs w:val="24"/><w:lang w:val="es-ES"/></w:rPr><w:t xml:space="preserve">Razones de actividad: </w:t></w:r></w:p><w:p><w:pPr><w:pStyle w:val="style0"/><w:spacing w:after="0" w:before="0" w:line="360" w:lineRule="auto"/><w:ind w:hanging="0" w:left="0" w:right="-1"/><w:jc w:val="both"/></w:pPr><w:r><w:rPr><w:rFonts w:ascii="Times New Roman" w:hAnsi="Times New Roman"/><w:i/><w:sz w:val="24"/><w:szCs w:val="24"/><w:lang w:val="es-ES"/></w:rPr></w:r></w:p><w:p><w:pPr><w:pStyle w:val="style0"/><w:spacing w:line="360" w:lineRule="auto"/><w:ind w:hanging="0" w:left="720" w:right="0"/><w:jc w:val="both"/></w:pPr><w:r><w:rPr><w:rFonts w:ascii="Times New Roman" w:hAnsi="Times New Roman"/><w:sz w:val="24"/><w:szCs w:val="24"/><w:lang w:val="es-ES"/></w:rPr><w:t>Según Sánchez (s/f), las razones de actividad: “evalúan la habilidad con la cual la empresa (o la gerencia) utiliza los recursos de que dispone” (p-3).</w:t></w:r></w:p><w:p><w:pPr><w:pStyle w:val="style0"/><w:spacing w:after="0" w:before="0" w:line="360" w:lineRule="auto"/><w:ind w:hanging="0" w:left="0" w:right="-1"/><w:jc w:val="both"/></w:pPr><w:r><w:rPr><w:rFonts w:ascii="Times New Roman" w:hAnsi="Times New Roman"/><w:sz w:val="24"/><w:szCs w:val="24"/><w:lang w:val="es-ES"/></w:rPr><w:t>De acuerdo a la información financiera que se posee, las razones de actividad que se calculan son:</w:t></w:r></w:p><w:p><w:pPr><w:pStyle w:val="style0"/><w:spacing w:after="0" w:before="0" w:line="360" w:lineRule="auto"/><w:ind w:hanging="0" w:left="0" w:right="-1"/><w:jc w:val="both"/></w:pPr><w:r><w:rPr><w:rFonts w:ascii="Times New Roman" w:hAnsi="Times New Roman"/><w:sz w:val="24"/><w:szCs w:val="24"/><w:lang w:val="es-ES"/></w:rPr></w:r></w:p><w:p><w:pPr><w:pStyle w:val="style0"/><w:numPr><w:ilvl w:val="0"/><w:numId w:val="7"/></w:numPr><w:spacing w:after="0" w:before="0" w:line="360" w:lineRule="auto"/><w:ind w:hanging="0" w:left="0" w:right="-1"/><w:jc w:val="both"/></w:pPr><w:r><w:rPr><w:rFonts w:ascii="Times New Roman" w:hAnsi="Times New Roman"/><w:sz w:val="24"/><w:szCs w:val="24"/><w:u w:val="single"/><w:lang w:val="es-ES"/></w:rPr><w:t>Días de cuentas por cobrar</w:t></w:r><w:r><w:rPr><w:rFonts w:ascii="Times New Roman" w:hAnsi="Times New Roman"/><w:sz w:val="24"/><w:szCs w:val="24"/><w:lang w:val="es-ES"/></w:rPr><w:t>: “…representa, en promedio, el número de días que la empresa está tardando en recuperar sus ventas” (p-3).</w:t></w:r></w:p><w:p><w:pPr><w:pStyle w:val="style0"/><w:spacing w:after="0" w:before="0" w:line="360" w:lineRule="auto"/><w:ind w:hanging="0" w:left="0" w:right="-1"/><w:jc w:val="both"/></w:pPr><w:r><w:rPr><w:rFonts w:ascii="Times New Roman" w:hAnsi="Times New Roman"/><w:sz w:val="24"/><w:szCs w:val="24"/><w:lang w:val="es-ES"/></w:rPr><w:t xml:space="preserve">Fórmula: </w:t></w:r></w:p><w:p><w:pPr><w:pStyle w:val="style0"/><w:spacing w:after="0" w:before="0" w:line="360" w:lineRule="auto"/><w:ind w:hanging="0" w:left="0" w:right="-1"/><w:jc w:val="center"/></w:pPr><w:r><w:rPr><w:rFonts w:ascii="Times New Roman" w:hAnsi="Times New Roman"/><w:b/><w:sz w:val="24"/><w:szCs w:val="24"/><w:lang w:val="es-ES"/></w:rPr><w:t>Días de cuentas por cobrar = (Cuentas por cobrar * 360)/Ventas</w:t></w:r></w:p><w:p><w:pPr><w:pStyle w:val="style0"/><w:spacing w:after="0" w:before="0" w:line="360" w:lineRule="auto"/><w:ind w:hanging="0" w:left="0" w:right="-1"/><w:jc w:val="center"/></w:pPr><w:r><w:rPr><w:rFonts w:ascii="Times New Roman" w:hAnsi="Times New Roman"/><w:b/><w:sz w:val="24"/><w:szCs w:val="24"/><w:lang w:val="es-ES"/></w:rPr></w:r></w:p><w:p><w:pPr><w:pStyle w:val="style0"/><w:numPr><w:ilvl w:val="0"/><w:numId w:val="7"/></w:numPr><w:spacing w:after="0" w:before="0" w:line="360" w:lineRule="auto"/><w:ind w:hanging="0" w:left="0" w:right="-1"/><w:jc w:val="both"/></w:pPr><w:r><w:rPr><w:rFonts w:ascii="Times New Roman" w:hAnsi="Times New Roman"/><w:sz w:val="24"/><w:szCs w:val="24"/><w:u w:val="single"/><w:lang w:val="es-ES"/></w:rPr><w:t>Rotación de cuentas por cobrar</w:t></w:r><w:r><w:rPr><w:rFonts w:ascii="Times New Roman" w:hAnsi="Times New Roman"/><w:sz w:val="24"/><w:szCs w:val="24"/><w:lang w:val="es-ES"/></w:rPr><w:t>: “indica el número de veces en que, en promedio, han sido renovadas las cuentas por cobrar” (p-3).</w:t></w:r></w:p><w:p><w:pPr><w:pStyle w:val="style0"/><w:spacing w:after="0" w:before="0" w:line="360" w:lineRule="auto"/><w:ind w:hanging="0" w:left="0" w:right="-1"/><w:jc w:val="both"/></w:pPr><w:r><w:rPr><w:rFonts w:ascii="Times New Roman" w:hAnsi="Times New Roman"/><w:sz w:val="24"/><w:szCs w:val="24"/><w:lang w:val="es-ES"/></w:rPr><w:t xml:space="preserve">Fórmula: </w:t></w:r></w:p><w:p><w:pPr><w:pStyle w:val="style0"/><w:spacing w:after="0" w:before="0" w:line="360" w:lineRule="auto"/><w:ind w:hanging="0" w:left="0" w:right="-1"/><w:jc w:val="center"/></w:pPr><w:r><w:rPr><w:rFonts w:ascii="Times New Roman" w:hAnsi="Times New Roman"/><w:b/><w:sz w:val="24"/><w:szCs w:val="24"/><w:lang w:val="es-ES"/></w:rPr><w:t>Rotación de cuentas por cobrar = Ventas/Cuentas por cobrar</w:t></w:r></w:p><w:p><w:pPr><w:pStyle w:val="style0"/><w:spacing w:after="0" w:before="0" w:line="360" w:lineRule="auto"/><w:ind w:hanging="0" w:left="0" w:right="-1"/><w:jc w:val="center"/></w:pPr><w:r><w:rPr><w:rFonts w:ascii="Times New Roman" w:hAnsi="Times New Roman"/><w:b/><w:sz w:val="24"/><w:szCs w:val="24"/><w:lang w:val="es-ES"/></w:rPr></w:r></w:p><w:p><w:pPr><w:pStyle w:val="style0"/><w:numPr><w:ilvl w:val="0"/><w:numId w:val="7"/></w:numPr><w:spacing w:after="0" w:before="0" w:line="360" w:lineRule="auto"/><w:ind w:hanging="0" w:left="0" w:right="-1"/><w:jc w:val="both"/></w:pPr><w:r><w:rPr><w:rFonts w:ascii="Times New Roman" w:hAnsi="Times New Roman"/><w:sz w:val="24"/><w:szCs w:val="24"/><w:u w:val="single"/><w:lang w:val="es-ES"/></w:rPr><w:t>Rotación de activo fijo</w:t></w:r><w:r><w:rPr><w:rFonts w:ascii="Times New Roman" w:hAnsi="Times New Roman"/><w:sz w:val="24"/><w:szCs w:val="24"/><w:lang w:val="es-ES"/></w:rPr><w:t>: “…mide la relación que existe entre el monto de los ingresos y el monto de la inversión en activos fijos” (p-3).</w:t></w:r></w:p><w:p><w:pPr><w:pStyle w:val="style0"/><w:spacing w:after="0" w:before="0" w:line="360" w:lineRule="auto"/><w:ind w:hanging="0" w:left="0" w:right="-1"/><w:jc w:val="both"/></w:pPr><w:r><w:rPr><w:rFonts w:ascii="Times New Roman" w:hAnsi="Times New Roman"/><w:sz w:val="24"/><w:szCs w:val="24"/><w:lang w:val="es-ES"/></w:rPr><w:t xml:space="preserve">Fórmula: </w:t></w:r></w:p><w:p><w:pPr><w:pStyle w:val="style0"/><w:spacing w:after="0" w:before="0" w:line="360" w:lineRule="auto"/><w:ind w:hanging="0" w:left="0" w:right="-1"/><w:jc w:val="center"/></w:pPr><w:r><w:rPr><w:rFonts w:ascii="Times New Roman" w:hAnsi="Times New Roman"/><w:b/><w:sz w:val="24"/><w:szCs w:val="24"/><w:lang w:val="es-ES"/></w:rPr><w:t>Rotación de activo fijo = Ventas/Activo fijo</w:t></w:r></w:p><w:p><w:pPr><w:pStyle w:val="style0"/><w:spacing w:after="0" w:before="0" w:line="360" w:lineRule="auto"/><w:ind w:hanging="0" w:left="0" w:right="-1"/><w:jc w:val="both"/></w:pPr><w:r><w:rPr><w:rFonts w:ascii="Times New Roman" w:hAnsi="Times New Roman"/><w:i/><w:sz w:val="24"/><w:szCs w:val="24"/><w:lang w:val="es-ES"/></w:rPr></w:r></w:p><w:p><w:pPr><w:pStyle w:val="style0"/><w:numPr><w:ilvl w:val="0"/><w:numId w:val="7"/></w:numPr><w:spacing w:after="0" w:before="0" w:line="360" w:lineRule="auto"/><w:ind w:hanging="0" w:left="0" w:right="-1"/><w:jc w:val="both"/></w:pPr><w:r><w:rPr><w:rFonts w:ascii="Times New Roman" w:hAnsi="Times New Roman"/><w:sz w:val="24"/><w:szCs w:val="24"/><w:u w:val="single"/><w:lang w:val="es-ES"/></w:rPr><w:t>Rotación capital de trabajo</w:t></w:r><w:r><w:rPr><w:rFonts w:ascii="Times New Roman" w:hAnsi="Times New Roman"/><w:sz w:val="24"/><w:szCs w:val="24"/><w:lang w:val="es-ES"/></w:rPr><w:t>: “…mide la relación que existe entre el monto de los ingresos y el monto de la inversión neta en recursos a corto plazo” (p-3).</w:t></w:r></w:p><w:p><w:pPr><w:pStyle w:val="style0"/><w:spacing w:after="0" w:before="0" w:line="360" w:lineRule="auto"/><w:ind w:hanging="0" w:left="0" w:right="-1"/><w:jc w:val="both"/></w:pPr><w:r><w:rPr><w:rFonts w:ascii="Times New Roman" w:hAnsi="Times New Roman"/><w:sz w:val="24"/><w:szCs w:val="24"/><w:lang w:val="es-ES"/></w:rPr><w:t>Fórmula:</w:t></w:r></w:p><w:p><w:pPr><w:pStyle w:val="style0"/><w:spacing w:after="0" w:before="0" w:line="360" w:lineRule="auto"/><w:ind w:hanging="0" w:left="0" w:right="-1"/><w:jc w:val="center"/></w:pPr><w:r><w:rPr><w:rFonts w:ascii="Times New Roman" w:hAnsi="Times New Roman"/><w:b/><w:sz w:val="24"/><w:szCs w:val="24"/><w:lang w:val="es-ES"/></w:rPr><w:t>Rotación del capital de trabajo = Ventas/capital de trabajo</w:t></w:r></w:p><w:p><w:pPr><w:pStyle w:val="style0"/><w:spacing w:after="0" w:before="0" w:line="360" w:lineRule="auto"/><w:ind w:hanging="0" w:left="0" w:right="-1"/><w:jc w:val="both"/></w:pPr><w:r><w:rPr><w:rFonts w:ascii="Times New Roman" w:hAnsi="Times New Roman"/><w:i/><w:sz w:val="24"/><w:szCs w:val="24"/><w:lang w:val="es-ES"/></w:rPr></w:r></w:p><w:p><w:pPr><w:pStyle w:val="style0"/><w:numPr><w:ilvl w:val="0"/><w:numId w:val="5"/></w:numPr><w:spacing w:after="0" w:before="0" w:line="360" w:lineRule="auto"/><w:ind w:hanging="0" w:left="0" w:right="-1"/><w:jc w:val="both"/></w:pPr><w:r><w:rPr><w:rFonts w:ascii="Times New Roman" w:hAnsi="Times New Roman"/><w:b/><w:sz w:val="24"/><w:szCs w:val="24"/><w:lang w:val="es-ES"/></w:rPr><w:t>Razones de rentabilidad</w:t></w:r><w:r><w:rPr><w:rFonts w:ascii="Times New Roman" w:hAnsi="Times New Roman"/><w:sz w:val="24"/><w:szCs w:val="24"/><w:lang w:val="es-ES"/></w:rPr><w:t>:</w:t></w:r></w:p><w:p><w:pPr><w:pStyle w:val="style0"/><w:spacing w:after="0" w:before="0" w:line="360" w:lineRule="auto"/><w:ind w:hanging="0" w:left="72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t>Según Sánchez (s/f), las razones de rentabilidad, “miden la capacidad de la empresa para generar utilidades, a partir de los recursos disponibles” (p-4).</w:t></w:r></w:p><w:p><w:pPr><w:pStyle w:val="style0"/><w:spacing w:after="0" w:before="0" w:line="360" w:lineRule="auto"/><w:ind w:hanging="0" w:left="0" w:right="-1"/><w:jc w:val="both"/></w:pPr><w:r><w:rPr><w:rFonts w:ascii="Times New Roman" w:hAnsi="Times New Roman"/><w:i/><w:sz w:val="24"/><w:szCs w:val="24"/><w:lang w:val="es-ES"/></w:rPr></w:r></w:p><w:p><w:pPr><w:pStyle w:val="style0"/><w:spacing w:after="0" w:before="0" w:line="360" w:lineRule="auto"/><w:ind w:hanging="0" w:left="0" w:right="-1"/><w:jc w:val="both"/></w:pPr><w:r><w:rPr><w:rFonts w:ascii="Times New Roman" w:hAnsi="Times New Roman"/><w:sz w:val="24"/><w:szCs w:val="24"/><w:lang w:val="es-ES"/></w:rPr><w:t>De acuerdo a la información financiera que se posee, las razones de rentabilidad que se calculan son:</w:t></w:r></w:p><w:p><w:pPr><w:pStyle w:val="style0"/><w:spacing w:after="0" w:before="0" w:line="360" w:lineRule="auto"/><w:ind w:hanging="0" w:left="0" w:right="-1"/><w:jc w:val="both"/></w:pPr><w:r><w:rPr><w:rFonts w:ascii="Times New Roman" w:hAnsi="Times New Roman"/><w:i/><w:sz w:val="24"/><w:szCs w:val="24"/><w:lang w:val="es-ES"/></w:rPr></w:r></w:p><w:p><w:pPr><w:pStyle w:val="style0"/><w:numPr><w:ilvl w:val="0"/><w:numId w:val="7"/></w:numPr><w:spacing w:after="0" w:before="0" w:line="360" w:lineRule="auto"/><w:ind w:hanging="0" w:left="0" w:right="-1"/><w:jc w:val="both"/></w:pPr><w:r><w:rPr><w:rFonts w:ascii="Times New Roman" w:hAnsi="Times New Roman"/><w:sz w:val="24"/><w:szCs w:val="24"/><w:u w:val="single"/><w:lang w:val="es-ES"/></w:rPr><w:t>Margen de utilidad en operaciones</w:t></w:r><w:r><w:rPr><w:rFonts w:ascii="Times New Roman" w:hAnsi="Times New Roman"/><w:sz w:val="24"/><w:szCs w:val="24"/><w:lang w:val="es-ES"/></w:rPr><w:t>: “…permite medir si la empresa está generando suficiente utilidad para cubrir sus actividades de financiamiento” (p-4).</w:t></w:r></w:p><w:p><w:pPr><w:pStyle w:val="style0"/><w:spacing w:after="0" w:before="0" w:line="360" w:lineRule="auto"/><w:ind w:hanging="0" w:left="0" w:right="-1"/><w:jc w:val="both"/></w:pPr><w:r><w:rPr><w:rFonts w:ascii="Times New Roman" w:hAnsi="Times New Roman"/><w:sz w:val="24"/><w:szCs w:val="24"/><w:lang w:val="es-ES"/></w:rPr><w:t xml:space="preserve">Fórmula: </w:t></w:r></w:p><w:p><w:pPr><w:pStyle w:val="style0"/><w:spacing w:after="0" w:before="0" w:line="360" w:lineRule="auto"/><w:ind w:hanging="0" w:left="0" w:right="-1"/><w:jc w:val="center"/></w:pPr><w:r><w:rPr><w:rFonts w:ascii="Times New Roman" w:hAnsi="Times New Roman"/><w:b/><w:sz w:val="24"/><w:szCs w:val="24"/><w:lang w:val="es-ES"/></w:rPr><w:t>Margen de utilidad en operaciones = utilidad en operaciones/ ventas</w:t></w:r></w:p><w:p><w:pPr><w:pStyle w:val="style0"/><w:spacing w:after="0" w:before="0" w:line="360" w:lineRule="auto"/><w:ind w:hanging="0" w:left="0" w:right="-1"/><w:jc w:val="both"/></w:pPr><w:r><w:rPr><w:rFonts w:ascii="Times New Roman" w:hAnsi="Times New Roman"/><w:i/><w:sz w:val="24"/><w:szCs w:val="24"/><w:lang w:val="es-ES"/></w:rPr></w:r></w:p><w:p><w:pPr><w:pStyle w:val="style0"/><w:numPr><w:ilvl w:val="0"/><w:numId w:val="7"/></w:numPr><w:spacing w:after="0" w:before="0" w:line="360" w:lineRule="auto"/><w:ind w:hanging="0" w:left="0" w:right="-1"/><w:jc w:val="both"/></w:pPr><w:r><w:rPr><w:rFonts w:ascii="Times New Roman" w:hAnsi="Times New Roman"/><w:sz w:val="24"/><w:szCs w:val="24"/><w:u w:val="single"/><w:lang w:val="es-ES"/></w:rPr><w:t>Margen de utilidad neta</w:t></w:r><w:r><w:rPr><w:rFonts w:ascii="Times New Roman" w:hAnsi="Times New Roman"/><w:sz w:val="24"/><w:szCs w:val="24"/><w:lang w:val="es-ES"/></w:rPr><w:t>: “mide el porcentaje que está quedando a los propietarios por operar la empresa” (p-4).</w:t></w:r></w:p><w:p><w:pPr><w:pStyle w:val="style0"/><w:spacing w:after="0" w:before="0" w:line="360" w:lineRule="auto"/><w:ind w:hanging="0" w:left="0" w:right="-1"/><w:jc w:val="both"/></w:pPr><w:r><w:rPr><w:rFonts w:ascii="Times New Roman" w:hAnsi="Times New Roman"/><w:sz w:val="24"/><w:szCs w:val="24"/><w:lang w:val="es-ES"/></w:rPr><w:t xml:space="preserve">Fórmula: </w:t></w:r></w:p><w:p><w:pPr><w:pStyle w:val="style0"/><w:spacing w:after="0" w:before="0" w:line="360" w:lineRule="auto"/><w:ind w:hanging="0" w:left="720" w:right="-1"/><w:jc w:val="center"/></w:pPr><w:r><w:rPr><w:rFonts w:ascii="Times New Roman" w:hAnsi="Times New Roman"/><w:b/><w:sz w:val="24"/><w:szCs w:val="24"/><w:lang w:val="es-ES"/></w:rPr><w:t>Margen de utilidad neta = utilidad neta/ventas</w:t></w:r></w:p><w:p><w:pPr><w:pStyle w:val="style0"/><w:spacing w:after="0" w:before="0" w:line="360" w:lineRule="auto"/><w:ind w:hanging="0" w:left="720" w:right="-1"/><w:jc w:val="center"/></w:pPr><w:r><w:rPr><w:rFonts w:ascii="Times New Roman" w:hAnsi="Times New Roman"/><w:b/><w:sz w:val="24"/><w:szCs w:val="24"/><w:lang w:val="es-ES"/></w:rPr></w:r></w:p><w:p><w:pPr><w:pStyle w:val="style0"/><w:numPr><w:ilvl w:val="0"/><w:numId w:val="7"/></w:numPr><w:spacing w:after="0" w:before="0" w:line="360" w:lineRule="auto"/><w:ind w:hanging="0" w:left="0" w:right="-1"/><w:jc w:val="both"/></w:pPr><w:r><w:rPr><w:rFonts w:ascii="Times New Roman" w:hAnsi="Times New Roman"/><w:sz w:val="24"/><w:szCs w:val="24"/><w:u w:val="single"/><w:lang w:val="es-ES"/></w:rPr><w:t>Rendimiento sobre activos (ROA):</w:t></w:r><w:r><w:rPr><w:rFonts w:ascii="Times New Roman" w:hAnsi="Times New Roman"/><w:sz w:val="24"/><w:szCs w:val="24"/><w:lang w:val="es-ES"/></w:rPr><w:t xml:space="preserve"> mide el rendimiento que se está obteniendo sobre la inversión. </w:t></w:r></w:p><w:p><w:pPr><w:pStyle w:val="style0"/><w:spacing w:after="0" w:before="0" w:line="360" w:lineRule="auto"/><w:ind w:hanging="0" w:left="0" w:right="-1"/><w:jc w:val="both"/></w:pPr><w:r><w:rPr><w:rFonts w:ascii="Times New Roman" w:hAnsi="Times New Roman"/><w:sz w:val="24"/><w:szCs w:val="24"/><w:lang w:val="es-ES"/></w:rPr><w:t xml:space="preserve">Fórmula: </w:t></w:r></w:p><w:p><w:pPr><w:pStyle w:val="style0"/><w:spacing w:after="0" w:before="0" w:line="360" w:lineRule="auto"/><w:ind w:hanging="0" w:left="0" w:right="-1"/><w:jc w:val="center"/></w:pPr><w:r><w:rPr><w:rFonts w:ascii="Times New Roman" w:hAnsi="Times New Roman"/><w:b/><w:sz w:val="24"/><w:szCs w:val="24"/><w:lang w:val="es-ES"/></w:rPr><w:t>Rendimiento sobre activos = Utilidad neta/Total activos</w:t></w:r></w:p><w:p><w:pPr><w:pStyle w:val="style0"/><w:spacing w:after="0" w:before="0" w:line="360" w:lineRule="auto"/><w:ind w:hanging="0" w:left="0" w:right="-1"/><w:jc w:val="both"/></w:pPr><w:r><w:rPr><w:rFonts w:ascii="Times New Roman" w:hAnsi="Times New Roman"/><w:i/><w:sz w:val="24"/><w:szCs w:val="24"/><w:lang w:val="es-ES"/></w:rPr></w:r></w:p><w:p><w:pPr><w:pStyle w:val="style0"/><w:numPr><w:ilvl w:val="0"/><w:numId w:val="7"/></w:numPr><w:spacing w:after="0" w:before="0" w:line="360" w:lineRule="auto"/><w:ind w:hanging="0" w:left="0" w:right="-1"/><w:jc w:val="both"/></w:pPr><w:r><w:rPr><w:rFonts w:ascii="Times New Roman" w:hAnsi="Times New Roman"/><w:sz w:val="24"/><w:szCs w:val="24"/><w:u w:val="single"/><w:lang w:val="es-ES"/></w:rPr><w:t>Rendimiento sobre patrimonio (ROE):</w:t></w:r><w:r><w:rPr><w:rFonts w:ascii="Times New Roman" w:hAnsi="Times New Roman"/><w:sz w:val="24"/><w:szCs w:val="24"/><w:lang w:val="es-ES"/></w:rPr><w:t xml:space="preserve"> “mide la rentabilidad que están obteniendo los inversionistas” (p-4).</w:t></w:r></w:p><w:p><w:pPr><w:pStyle w:val="style0"/><w:spacing w:after="0" w:before="0" w:line="360" w:lineRule="auto"/><w:ind w:hanging="0" w:left="0" w:right="-1"/><w:jc w:val="both"/></w:pPr><w:r><w:rPr><w:rFonts w:ascii="Times New Roman" w:hAnsi="Times New Roman"/><w:sz w:val="24"/><w:szCs w:val="24"/><w:lang w:val="es-ES"/></w:rPr><w:t>Fórmula:</w:t></w:r></w:p><w:p><w:pPr><w:pStyle w:val="style0"/><w:spacing w:after="0" w:before="0" w:line="360" w:lineRule="auto"/><w:ind w:hanging="0" w:left="0" w:right="-1"/><w:jc w:val="center"/></w:pPr><w:r><w:rPr><w:rFonts w:ascii="Times New Roman" w:hAnsi="Times New Roman"/><w:b/><w:sz w:val="24"/><w:szCs w:val="24"/><w:lang w:val="es-ES"/></w:rPr><w:t>Rendimiento sobre patrimonio = Utilidad neta/Patrimonio</w:t></w:r></w:p><w:p><w:pPr><w:pStyle w:val="style0"/><w:spacing w:after="0" w:before="0" w:line="360" w:lineRule="auto"/><w:ind w:hanging="0" w:left="0" w:right="-1"/><w:jc w:val="center"/></w:pPr><w:r><w:rPr><w:rFonts w:ascii="Times New Roman" w:hAnsi="Times New Roman"/><w:b/><w:sz w:val="24"/><w:szCs w:val="24"/><w:lang w:val="es-ES"/></w:rPr></w:r></w:p><w:p><w:pPr><w:pStyle w:val="style0"/><w:numPr><w:ilvl w:val="0"/><w:numId w:val="7"/></w:numPr><w:spacing w:after="0" w:before="0" w:line="360" w:lineRule="auto"/><w:ind w:hanging="0" w:left="0" w:right="-1"/><w:jc w:val="both"/></w:pPr><w:r><w:rPr><w:rFonts w:ascii="Times New Roman" w:hAnsi="Times New Roman"/><w:sz w:val="24"/><w:szCs w:val="24"/><w:u w:val="single"/><w:lang w:val="es-ES"/></w:rPr><w:t>Rendimiento sobre el capital de trabajo</w:t></w:r><w:r><w:rPr><w:rFonts w:ascii="Times New Roman" w:hAnsi="Times New Roman"/><w:sz w:val="24"/><w:szCs w:val="24"/><w:lang w:val="es-ES"/></w:rPr><w:t>: “mide la rentabilidad que se está obteniendo sobre los recursos o inversión neta a corto plazo” (p-4).</w:t></w:r></w:p><w:p><w:pPr><w:pStyle w:val="style0"/><w:spacing w:after="0" w:before="0" w:line="360" w:lineRule="auto"/><w:ind w:hanging="0" w:left="0" w:right="-1"/><w:jc w:val="both"/></w:pPr><w:r><w:rPr><w:rFonts w:ascii="Times New Roman" w:hAnsi="Times New Roman"/><w:sz w:val="24"/><w:szCs w:val="24"/><w:lang w:val="es-ES"/></w:rPr><w:t>Fórmula:</w:t></w:r></w:p><w:p><w:pPr><w:pStyle w:val="style0"/><w:spacing w:after="0" w:before="0" w:line="360" w:lineRule="auto"/><w:ind w:hanging="0" w:left="0" w:right="-1"/><w:jc w:val="center"/></w:pPr><w:r><w:rPr><w:rFonts w:ascii="Times New Roman" w:hAnsi="Times New Roman"/><w:b/><w:sz w:val="24"/><w:szCs w:val="24"/><w:lang w:val="es-ES"/></w:rPr><w:t>Rendimiento sobre capital de trabajo = Utilidad neta/Capital de trabajo</w:t></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b/><w:i/><w:sz w:val="24"/><w:szCs w:val="24"/></w:rPr><w:t>El Balanced Score Card</w:t></w:r></w:p><w:p><w:pPr><w:pStyle w:val="style0"/><w:spacing w:line="360" w:lineRule="auto"/><w:jc w:val="both"/></w:pPr><w:r><w:rPr><w:rFonts w:ascii="Times New Roman" w:hAnsi="Times New Roman"/><w:b/><w:sz w:val="24"/><w:szCs w:val="24"/></w:rPr></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Según Fernández (2001), el Balanced Scorecard, “es un modelo de gestión que traduce la estrategia en objetivos relacionados, medidos a través de indicadores y ligados a unos planes de acción que permiten alinear el comportamiento de los miembros de la organización” (p-32).</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Anteriormente en los inicios de los estudios realizados por Kaplan y Norton en los años 1992-1993, se utilizaba el Cuadro de Mando que solo estaba conformado por un conjunto de indicadores financieros “tradicionales” y algún indicador no financiero, cuyo origen se remonta en la II Guerra Mundial doctrina introducida por los franceses (Bastidas y Ripoll, 2003). Sin embargo, presentó debilidades debido a que “no lograba desplegar con éxito la estrategia planificada por la organización y reforzaba el predominio de las medidas financieras sobre las no financieras”. </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Según los autores referidos, la diferencia que radica entre el Cuadro de Mando y el Cuadro de Mando Integral, es que este último introduce elementos de gran importancia como lo son las cuatro perspectivas que serán descritas más adelante. </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En consecuencia, el nuevo concepto de Cuadro de Mando que integra todos los elementos que confluyen en la organización es expresado a continuación. Kaplan y Norton en Batista y Rodríguez (2004:35), señalan que el término de Balance Scorecard reflejan “</w:t></w:r><w:r><w:rPr><w:rFonts w:ascii="Times New Roman" w:hAnsi="Times New Roman"/><w:iCs/><w:sz w:val="24"/><w:szCs w:val="24"/></w:rPr><w:t>el equilibrio entre objetivos a corto y largo plazo, entre medidas financieras y no financieras, entre indicadores previsionales e históricos y entre perspectivas de actuación internas y externas”.</w:t></w:r></w:p><w:p><w:pPr><w:pStyle w:val="style0"/><w:spacing w:after="720" w:before="0" w:line="360" w:lineRule="auto"/><w:jc w:val="both"/></w:pPr><w:r><w:rPr><w:rFonts w:ascii="Times New Roman" w:hAnsi="Times New Roman"/><w:iCs/><w:sz w:val="24"/><w:szCs w:val="24"/></w:rPr><w:t xml:space="preserve">     </w:t></w:r><w:r><w:rPr><w:rFonts w:ascii="Times New Roman" w:hAnsi="Times New Roman"/><w:iCs/><w:sz w:val="24"/><w:szCs w:val="24"/></w:rPr><w:t xml:space="preserve">Bastidas y Ripoll (2003), señalan que existe complementariedad entre las medidas financieras y no financieras, al incursionar con el Cuadro de Mando Integral. Esto debido a que las financieras reflejan información sobre la gestión de la organización a largo plazo, y los no financieros, informa sobre la gestión a corto plazo para conocer si la organización va en el camino adecuado para la consecución de los objetivos a largo plazo. </w:t></w:r></w:p><w:p><w:pPr><w:pStyle w:val="style0"/><w:spacing w:after="28" w:before="0" w:line="360" w:lineRule="auto"/><w:jc w:val="both"/></w:pPr><w:r><w:rPr><w:rFonts w:ascii="Times New Roman" w:hAnsi="Times New Roman"/><w:sz w:val="24"/><w:szCs w:val="24"/></w:rPr><w:t xml:space="preserve">     </w:t></w:r><w:r><w:rPr><w:rFonts w:ascii="Times New Roman" w:hAnsi="Times New Roman"/><w:sz w:val="24"/><w:szCs w:val="24"/></w:rPr><w:t>Durante el desarrollo de este modelo, iniciado por Kaplan y Norton, se logró deducir que no solo actúa como un modelo de supervisión sino que logra incidir en la motivación de los integrantes de la organización hacia la consecución de los objetivos generales (Fernández, 2001).</w:t></w:r></w:p><w:p><w:pPr><w:pStyle w:val="style0"/><w:spacing w:after="28" w:before="0" w:line="360" w:lineRule="auto"/><w:jc w:val="both"/></w:pPr><w:r><w:rPr><w:rFonts w:ascii="Times New Roman" w:hAnsi="Times New Roman"/><w:sz w:val="24"/><w:szCs w:val="24"/></w:rPr></w:r></w:p><w:p><w:pPr><w:pStyle w:val="style0"/><w:spacing w:after="60" w:before="60" w:line="360" w:lineRule="auto"/><w:jc w:val="both"/></w:pPr><w:r><w:rPr><w:rFonts w:ascii="Times New Roman" w:hAnsi="Times New Roman"/><w:sz w:val="24"/><w:szCs w:val="24"/></w:rPr><w:t xml:space="preserve">     </w:t></w:r><w:r><w:rPr><w:rFonts w:ascii="Times New Roman" w:hAnsi="Times New Roman"/><w:sz w:val="24"/><w:szCs w:val="24"/></w:rPr><w:t xml:space="preserve">El referido autor señala que el cuadro de mando integral integra cuatro (4) perspectivas que se relacionan en una organización: perspectiva financiera, perspectiva del cliente, perspectiva del proceso interno y perspectiva de aprendizaje y crecimiento. </w:t></w:r></w:p><w:p><w:pPr><w:pStyle w:val="style0"/><w:spacing w:after="60" w:before="60" w:line="360" w:lineRule="auto"/><w:jc w:val="both"/></w:pPr><w:r><w:rPr><w:rFonts w:ascii="Times New Roman" w:hAnsi="Times New Roman"/><w:sz w:val="24"/><w:szCs w:val="24"/></w:rPr></w:r></w:p><w:p><w:pPr><w:pStyle w:val="style0"/><w:spacing w:after="60" w:before="60" w:line="360" w:lineRule="auto"/><w:jc w:val="both"/></w:pPr><w:r><w:rPr><w:rFonts w:ascii="Times New Roman" w:hAnsi="Times New Roman"/><w:sz w:val="24"/><w:szCs w:val="24"/></w:rPr><w:t xml:space="preserve">     </w:t></w:r><w:r><w:rPr><w:rFonts w:ascii="Times New Roman" w:hAnsi="Times New Roman"/><w:sz w:val="24"/><w:szCs w:val="24"/></w:rPr><w:t xml:space="preserve">Para ello Fernández (2001), relaciona estas cuatro perspectivas con preguntas que definen claramente lo que se busca en cada una de ellas. </w:t></w:r></w:p><w:p><w:pPr><w:pStyle w:val="style0"/><w:spacing w:after="60" w:before="60" w:line="100" w:lineRule="atLeast"/><w:jc w:val="both"/></w:pPr><w:r><w:rPr><w:rFonts w:ascii="Times New Roman" w:hAnsi="Times New Roman"/><w:sz w:val="24"/><w:szCs w:val="24"/></w:rPr></w:r></w:p><w:p><w:pPr><w:pStyle w:val="style0"/><w:spacing w:after="60" w:before="60" w:line="100" w:lineRule="atLeast"/><w:jc w:val="both"/></w:pPr><w:r><w:rPr><w:rFonts w:ascii="Times New Roman" w:hAnsi="Times New Roman"/><w:sz w:val="24"/><w:szCs w:val="24"/></w:rPr></w:r></w:p><w:p><w:pPr><w:pStyle w:val="style0"/><w:spacing w:after="60" w:before="60" w:line="100" w:lineRule="atLeast"/><w:jc w:val="both"/></w:pPr><w:r><w:rPr><w:rFonts w:ascii="Times New Roman" w:hAnsi="Times New Roman"/><w:sz w:val="24"/><w:szCs w:val="24"/></w:rPr></w:r></w:p><w:p><w:pPr><w:pStyle w:val="style0"/><w:spacing w:after="28" w:before="0" w:line="360" w:lineRule="auto"/><w:jc w:val="both"/></w:pPr><w:r><w:rPr><w:rFonts w:ascii="Times New Roman" w:hAnsi="Times New Roman"/><w:i/><w:sz w:val="24"/><w:szCs w:val="24"/></w:rPr><w:t xml:space="preserve">     </w:t></w:r><w:r><w:rPr><w:rFonts w:ascii="Times New Roman" w:hAnsi="Times New Roman"/><w:i/><w:sz w:val="24"/><w:szCs w:val="24"/></w:rPr><w:t>La perspectiva financiera,</w:t></w:r><w:r><w:rPr><w:rFonts w:ascii="Times New Roman" w:hAnsi="Times New Roman"/><w:sz w:val="24"/><w:szCs w:val="24"/></w:rPr><w:t xml:space="preserve"> “¿Qué debemos hacer para satisfacer las expectativas de nuestros accionistas?”</w:t></w:r></w:p><w:p><w:pPr><w:pStyle w:val="style0"/><w:spacing w:after="28" w:before="0" w:line="360" w:lineRule="auto"/><w:jc w:val="both"/></w:pPr><w:r><w:rPr><w:rFonts w:ascii="Times New Roman" w:hAnsi="Times New Roman"/><w:sz w:val="24"/><w:szCs w:val="24"/></w:rPr></w:r></w:p><w:p><w:pPr><w:pStyle w:val="style0"/><w:spacing w:after="28" w:before="0" w:line="360" w:lineRule="auto"/><w:jc w:val="both"/></w:pPr><w:r><w:rPr><w:rFonts w:ascii="Times New Roman" w:hAnsi="Times New Roman"/><w:sz w:val="24"/><w:szCs w:val="24"/></w:rPr><w:t xml:space="preserve">     </w:t></w:r><w:r><w:rPr><w:rFonts w:ascii="Times New Roman" w:hAnsi="Times New Roman"/><w:sz w:val="24"/><w:szCs w:val="24"/></w:rPr><w:t xml:space="preserve">Generalmente, las empresas calculan los índices financieros mayormente conocidos, como son los económicos, de rentabilidad, solvencia y liquidez. Sin embargo, existen dos aspectos que se deben considerar al momento de realizar ese trabajo, primero la adecuación de los indicadores a la unidad de negocio y segundo, la fase en que se encuentre la empresa dentro del ciclo de vida del negocio. Esto debido a que cada unidad de negocio aplica diferentes estrategias y por ende alcanza diferentes resultados por lo que no se puede aplicar el mismo tipo de métrica, y por otro lado, los objetivos económicos deben ser diferentes en cada fase del ciclo de vida, tanto en rentabilidad como el capital circulante para las operaciones de la empresa, lo cual conlleva a una toma de decisiones acertada o desacertada en función a los objetivos establecidos. </w:t></w:r></w:p><w:p><w:pPr><w:pStyle w:val="style0"/><w:spacing w:after="28" w:before="0" w:line="360" w:lineRule="auto"/><w:jc w:val="both"/></w:pPr><w:r><w:rPr><w:rFonts w:ascii="Times New Roman" w:hAnsi="Times New Roman"/><w:sz w:val="24"/><w:szCs w:val="24"/></w:rPr></w:r></w:p><w:p><w:pPr><w:pStyle w:val="style0"/><w:spacing w:after="28" w:before="0" w:line="360" w:lineRule="auto"/><w:jc w:val="both"/></w:pPr><w:r><w:rPr><w:rFonts w:ascii="Times New Roman" w:hAnsi="Times New Roman"/><w:i/><w:sz w:val="24"/><w:szCs w:val="24"/></w:rPr><w:t xml:space="preserve">     </w:t></w:r><w:r><w:rPr><w:rFonts w:ascii="Times New Roman" w:hAnsi="Times New Roman"/><w:i/><w:sz w:val="24"/><w:szCs w:val="24"/></w:rPr><w:t>La perspectiva del cliente</w:t></w:r><w:r><w:rPr><w:rFonts w:ascii="Times New Roman" w:hAnsi="Times New Roman"/><w:sz w:val="24"/><w:szCs w:val="24"/></w:rPr><w:t>, “¿Qué debemos hacer para satisfacer las necesidades de nuestros clientes?”</w:t></w:r></w:p><w:p><w:pPr><w:pStyle w:val="style0"/><w:spacing w:after="28" w:before="0" w:line="360" w:lineRule="auto"/><w:jc w:val="both"/></w:pPr><w:r><w:rPr><w:rFonts w:ascii="Times New Roman" w:hAnsi="Times New Roman"/><w:sz w:val="24"/><w:szCs w:val="24"/></w:rPr><w:t xml:space="preserve">     </w:t></w:r><w:r><w:rPr><w:rFonts w:ascii="Times New Roman" w:hAnsi="Times New Roman"/><w:sz w:val="24"/><w:szCs w:val="24"/></w:rPr><w:t>Primeramente, se debe conocer al cliente, con el fin de determinar las preferencias y gustos por el producto y/o servicio y afines, tomando en cuenta la presentación, el precio, la calidad, atención al cliente, servicio técnico y demás aspectos complementarios que acompañan a ese bien o servicio. Luego, de satisfacer esa entrega inicial, se debe realizar el continuo seguimiento de los niveles de satisfacción que alarguen la relación comercial con el cliente, logrando así la fidelización del mismo.</w:t></w:r></w:p><w:p><w:pPr><w:pStyle w:val="style0"/><w:spacing w:after="28" w:before="0" w:line="360" w:lineRule="auto"/><w:jc w:val="both"/></w:pPr><w:r><w:rPr><w:rFonts w:ascii="Times New Roman" w:hAnsi="Times New Roman"/><w:sz w:val="24"/><w:szCs w:val="24"/></w:rPr></w:r></w:p><w:p><w:pPr><w:pStyle w:val="style0"/><w:spacing w:after="28" w:before="0" w:line="360" w:lineRule="auto"/><w:jc w:val="both"/></w:pPr><w:r><w:rPr><w:rFonts w:ascii="Times New Roman" w:hAnsi="Times New Roman"/><w:i/><w:sz w:val="24"/><w:szCs w:val="24"/></w:rPr><w:t xml:space="preserve">     </w:t></w:r><w:r><w:rPr><w:rFonts w:ascii="Times New Roman" w:hAnsi="Times New Roman"/><w:i/><w:sz w:val="24"/><w:szCs w:val="24"/></w:rPr><w:t>La perspectiva del proceso interno</w:t></w:r><w:r><w:rPr><w:rFonts w:ascii="Times New Roman" w:hAnsi="Times New Roman"/><w:sz w:val="24"/><w:szCs w:val="24"/></w:rPr><w:t>, “¿En qué procesos debemos ser excelentes para satisfacer esas necesidades?”</w:t></w:r></w:p><w:p><w:pPr><w:pStyle w:val="style0"/><w:spacing w:after="28" w:before="0" w:line="360" w:lineRule="auto"/><w:jc w:val="both"/></w:pPr><w:r><w:rPr><w:rFonts w:ascii="Times New Roman" w:hAnsi="Times New Roman"/><w:sz w:val="24"/><w:szCs w:val="24"/></w:rPr></w:r></w:p><w:p><w:pPr><w:pStyle w:val="style0"/><w:spacing w:after="28" w:before="0" w:line="360" w:lineRule="auto"/><w:jc w:val="both"/></w:pPr><w:r><w:rPr><w:rFonts w:ascii="Times New Roman" w:hAnsi="Times New Roman"/><w:sz w:val="24"/><w:szCs w:val="24"/></w:rPr><w:t xml:space="preserve">     </w:t></w:r><w:r><w:rPr><w:rFonts w:ascii="Times New Roman" w:hAnsi="Times New Roman"/><w:sz w:val="24"/><w:szCs w:val="24"/></w:rPr><w:t xml:space="preserve">Esta perspectiva se refiere expresamente a la calidad del producto o servicio, el cual debe cumplir con los requisitos finamente establecidos. Entre los aspectos a tomar en cuenta se encuentra el suministro de la materia prima, elección de los proveedores, almacenamiento apropiado y control del proceso operativo, esto sin dejar de lado la tecnología utilizada. Es de suma importancia, el seguimiento a estos factores, que coadyuvaran a la reducción de costes a través de la mejora continua en los procesos. </w:t></w:r></w:p><w:p><w:pPr><w:pStyle w:val="style0"/><w:spacing w:after="28" w:before="0" w:line="360" w:lineRule="auto"/><w:jc w:val="both"/></w:pPr><w:r><w:rPr><w:rFonts w:ascii="Times New Roman" w:hAnsi="Times New Roman"/><w:sz w:val="24"/><w:szCs w:val="24"/></w:rPr></w:r></w:p><w:p><w:pPr><w:pStyle w:val="style0"/><w:spacing w:after="28" w:before="0" w:line="360" w:lineRule="auto"/><w:jc w:val="both"/></w:pPr><w:r><w:rPr><w:rFonts w:ascii="Times New Roman" w:hAnsi="Times New Roman"/><w:i/><w:sz w:val="24"/><w:szCs w:val="24"/></w:rPr><w:t xml:space="preserve">     </w:t></w:r><w:r><w:rPr><w:rFonts w:ascii="Times New Roman" w:hAnsi="Times New Roman"/><w:i/><w:sz w:val="24"/><w:szCs w:val="24"/></w:rPr><w:t>La perspectiva de aprendizaje y crecimiento</w:t></w:r><w:r><w:rPr><w:rFonts w:ascii="Times New Roman" w:hAnsi="Times New Roman"/><w:sz w:val="24"/><w:szCs w:val="24"/></w:rPr><w:t>, “¿Qué aspectos son críticos para poder mantener esa excelencia?”</w:t></w:r></w:p><w:p><w:pPr><w:pStyle w:val="style0"/><w:spacing w:after="28" w:before="0" w:line="360" w:lineRule="auto"/><w:jc w:val="both"/></w:pPr><w:r><w:rPr><w:rFonts w:ascii="Times New Roman" w:hAnsi="Times New Roman"/><w:sz w:val="24"/><w:szCs w:val="24"/></w:rPr></w:r></w:p><w:p><w:pPr><w:pStyle w:val="style0"/><w:spacing w:after="28" w:before="0" w:line="360" w:lineRule="auto"/><w:jc w:val="both"/></w:pPr><w:r><w:rPr><w:rFonts w:ascii="Times New Roman" w:hAnsi="Times New Roman"/><w:sz w:val="24"/><w:szCs w:val="24"/></w:rPr><w:t xml:space="preserve">     </w:t></w:r><w:r><w:rPr><w:rFonts w:ascii="Times New Roman" w:hAnsi="Times New Roman"/><w:sz w:val="24"/><w:szCs w:val="24"/></w:rPr><w:t>El logro en las perspectivas anteriores solo podrá ser alcanzado a través del entusiasmo de los empleados de la empresa. Se debe considerar el aprendizaje de cada uno de los actores internos que forman parte de la organización, y el crecimiento que los desarrolla desde el punto de vista personal y profesional. La capacidad de los trabajadores de asimilar los continuos cambios en el mercado que obligan a la empresa al reinvento y adaptación a los diferentes gustos y preferencias de los clientes, ayuda a la organización al desarrollo de los objetivos competentes, asimismo la evolución humanística dentro de los procesos que ayudan al crecimiento personal lo cual empodera al trabajador y lo impulsa a tomar mayores responsabilidades dentro de sus funciones, sin olvidar el cuido del patrono a ellos lo cual desarrolla el sentido de pertenencia que colabora en ese crecimiento integral y sostenido.</w:t></w:r></w:p><w:p><w:pPr><w:pStyle w:val="style0"/><w:spacing w:after="28" w:before="0" w:line="360" w:lineRule="auto"/><w:jc w:val="both"/></w:pPr><w:r><w:rPr><w:rFonts w:ascii="Times New Roman" w:hAnsi="Times New Roman"/><w:sz w:val="24"/><w:szCs w:val="24"/></w:rPr></w:r></w:p><w:p><w:pPr><w:pStyle w:val="style0"/><w:spacing w:after="28" w:before="0" w:line="360" w:lineRule="auto"/><w:jc w:val="both"/></w:pPr><w:r><w:rPr><w:rFonts w:ascii="Times New Roman" w:hAnsi="Times New Roman"/><w:sz w:val="24"/><w:szCs w:val="24"/></w:rPr><w:t xml:space="preserve">     </w:t></w:r><w:r><w:rPr><w:rFonts w:ascii="Times New Roman" w:hAnsi="Times New Roman"/><w:sz w:val="24"/><w:szCs w:val="24"/></w:rPr><w:t xml:space="preserve">Mantener estas perspectivas presentes en la organización permitirán la integración de los objetivos estratégicos considerando los elementos claves que la conforman, pues se está tomando en cuenta tanto la visión interna como externa de la empresa que influyen de una u otra forma en los resultados obtenidos. Igualmente, garantiza que el modelo no solo se centre en aspectos financieros sino también en los no financieros que son importantes para el logro de una rentabilidad futura. Por lo tanto, se habla de un modelo integral y con temporalidad de largo plazo. </w:t></w:r></w:p><w:p><w:pPr><w:pStyle w:val="style0"/><w:spacing w:after="28" w:before="0" w:line="360" w:lineRule="auto"/><w:jc w:val="both"/></w:pPr><w:r><w:rPr><w:rFonts w:ascii="Times New Roman" w:hAnsi="Times New Roman"/><w:sz w:val="24"/><w:szCs w:val="24"/></w:rPr></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Como ya se ha dicho con anterioridad, la implementación de esta herramienta permitirá a las empresas alcanzar sus objetivos a largo plazo, generalmente una empresa lucrativa buscará la maximización de sus beneficios, sin embargo, no es el único objetivo que las empresas logran obtener, pero es lo que se intenta medir con esta misiva. </w:t></w:r></w:p><w:p><w:pPr><w:pStyle w:val="style0"/><w:spacing w:after="720" w:before="0" w:line="100" w:lineRule="atLeast"/><w:jc w:val="both"/></w:pPr><w:r><w:rPr><w:rFonts w:ascii="Times New Roman" w:hAnsi="Times New Roman"/><w:b/><w:i/><w:sz w:val="24"/><w:szCs w:val="24"/></w:rPr><w:t>Maximización de Beneficios</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La teoría de maximización de beneficios es un modelo que simplifica la realidad, tomando en cuenta las ganancias como única forma de medir el éxito en la empresa, restando importancia a factores como el prestigio (Nicholson, 2005). Igualmente, supone que la empresa posee información completa proveniente de su campo de acción lo que le permite un alto grado de certidumbre, a la hora de observar sus opciones viables de maximización de beneficios. </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Según el autor, existen tres elementos que son considerados para el estudio de diferentes modelos económicos, a saber:</w:t></w:r></w:p><w:p><w:pPr><w:pStyle w:val="style41"/><w:numPr><w:ilvl w:val="0"/><w:numId w:val="4"/></w:numPr><w:spacing w:line="360" w:lineRule="auto"/><w:jc w:val="both"/></w:pPr><w:r><w:rPr><w:rFonts w:ascii="Times New Roman" w:hAnsi="Times New Roman"/><w:sz w:val="24"/><w:szCs w:val="24"/></w:rPr><w:t xml:space="preserve">El supuesto </w:t></w:r><w:r><w:rPr><w:rFonts w:ascii="Times New Roman" w:hAnsi="Times New Roman"/><w:i/><w:sz w:val="24"/><w:szCs w:val="24"/></w:rPr><w:t>ceteris paribus</w:t></w:r><w:r><w:rPr><w:rFonts w:ascii="Times New Roman" w:hAnsi="Times New Roman"/><w:sz w:val="24"/><w:szCs w:val="24"/></w:rPr><w:t xml:space="preserve"> (en igualdad de condiciones).</w:t></w:r></w:p><w:p><w:pPr><w:pStyle w:val="style41"/><w:numPr><w:ilvl w:val="0"/><w:numId w:val="4"/></w:numPr><w:spacing w:line="360" w:lineRule="auto"/><w:jc w:val="both"/></w:pPr><w:r><w:rPr><w:rFonts w:ascii="Times New Roman" w:hAnsi="Times New Roman"/><w:sz w:val="24"/><w:szCs w:val="24"/></w:rPr><w:t>El supuesto de que los agentes económicos que toman decisiones presenten optimizar algo.</w:t></w:r></w:p><w:p><w:pPr><w:pStyle w:val="style41"/><w:numPr><w:ilvl w:val="0"/><w:numId w:val="4"/></w:numPr><w:spacing w:after="28" w:before="0" w:line="360" w:lineRule="auto"/><w:jc w:val="both"/></w:pPr><w:r><w:rPr><w:rFonts w:ascii="Times New Roman" w:hAnsi="Times New Roman"/><w:sz w:val="24"/><w:szCs w:val="24"/></w:rPr><w:t>Una clara diferenciación entre las cuestiones “positivas” y las “normativas”.</w:t></w:r></w:p><w:p><w:pPr><w:pStyle w:val="style41"/><w:spacing w:after="28" w:before="0" w:line="360" w:lineRule="auto"/><w:jc w:val="both"/></w:pPr><w:r><w:rPr><w:rFonts w:ascii="Times New Roman" w:hAnsi="Times New Roman"/><w:sz w:val="24"/><w:szCs w:val="24"/></w:rPr></w:r></w:p><w:p><w:pPr><w:pStyle w:val="style0"/><w:spacing w:after="28" w:before="0" w:line="360" w:lineRule="auto"/><w:jc w:val="both"/></w:pPr><w:r><w:rPr><w:rFonts w:ascii="Times New Roman" w:hAnsi="Times New Roman"/><w:sz w:val="24"/><w:szCs w:val="24"/></w:rPr><w:t xml:space="preserve">     </w:t></w:r><w:r><w:rPr><w:rFonts w:ascii="Times New Roman" w:hAnsi="Times New Roman"/><w:sz w:val="24"/><w:szCs w:val="24"/></w:rPr><w:t>El elemento de mayor importancia es el segundo, puesto que en el caso de la maximización de los beneficios es el objetivo que se quiere comprobar en el desarrollo del modelo económico. Según el autor, hay dos razones que se plantean para la aceptación del supuesto de optimización. La primera radica en que “los modelos de optimización son muy útiles para generar modelos precisos y resolubles”. Y la segunda, se refiere a la “validez empírica” de los modelos, pues resultan útiles para explicar la realidad.</w:t></w:r></w:p><w:p><w:pPr><w:pStyle w:val="style0"/><w:spacing w:line="360" w:lineRule="auto"/><w:jc w:val="both"/></w:pPr><w:r><w:rPr><w:rFonts w:ascii="Times New Roman" w:hAnsi="Times New Roman"/><w:sz w:val="24"/><w:szCs w:val="24"/></w:rPr></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Para lograr el objetivo a largo plazo en una organización, como por ejemplo, la maximización de los beneficios, se debe realizar en primera instancia una identificación y  análisis interno y externo de la empresa, comúnmente llamado Análisis FODA. Según un informe emanado por la Secretaria de Salud de México, a través de la Subsecretaria de Innovación y Calidad, el análisis FODA se utilizará para desarrollar un plan que tome en cuenta factores internos y externos, con la finalidad de “maximizar el potencial de las fortalezas y oportunidades, minimizando así el impacto de las debilidades y amenazas”.</w:t></w:r></w:p><w:p><w:pPr><w:pStyle w:val="style0"/><w:spacing w:line="360" w:lineRule="auto"/><w:jc w:val="both"/></w:pPr><w:r><w:rPr><w:rFonts w:ascii="Times New Roman" w:hAnsi="Times New Roman"/><w:sz w:val="24"/><w:szCs w:val="24"/></w:rPr><w:t xml:space="preserve">     </w:t></w:r><w:r><w:rPr><w:rFonts w:ascii="Times New Roman" w:hAnsi="Times New Roman"/><w:sz w:val="24"/><w:szCs w:val="24"/></w:rPr><w:t>A continuación se define que conlleva el análisis de los elementos internos y externos de la organización, según Flores, Vegas y Rossi (2008):</w:t></w:r></w:p><w:p><w:pPr><w:pStyle w:val="style0"/><w:spacing w:line="360" w:lineRule="auto"/><w:jc w:val="both"/></w:pPr><w:r><w:rPr><w:rFonts w:ascii="Times New Roman" w:hAnsi="Times New Roman"/><w:i/><w:sz w:val="24"/><w:szCs w:val="24"/></w:rPr></w:r></w:p><w:p><w:pPr><w:pStyle w:val="style0"/><w:spacing w:line="360" w:lineRule="auto"/><w:jc w:val="both"/></w:pPr><w:r><w:rPr><w:rFonts w:ascii="Times New Roman" w:hAnsi="Times New Roman"/><w:i/><w:sz w:val="24"/><w:szCs w:val="24"/></w:rPr><w:t>Análisis Interno:</w:t></w:r></w:p><w:p><w:pPr><w:pStyle w:val="style0"/><w:spacing w:line="360" w:lineRule="auto"/><w:jc w:val="both"/></w:pPr><w:r><w:rPr><w:rFonts w:ascii="Times New Roman" w:hAnsi="Times New Roman"/><w:b/><w:sz w:val="24"/><w:szCs w:val="24"/><w:u w:val="single"/></w:rPr></w:r></w:p><w:p><w:pPr><w:pStyle w:val="style0"/><w:spacing w:line="360" w:lineRule="auto"/><w:jc w:val="both"/></w:pPr><w:r><w:rPr><w:rFonts w:ascii="Times New Roman" w:hAnsi="Times New Roman"/><w:sz w:val="24"/><w:szCs w:val="24"/></w:rPr><w:t xml:space="preserve">     </w:t></w:r><w:r><w:rPr><w:rFonts w:ascii="Times New Roman" w:hAnsi="Times New Roman"/><w:sz w:val="24"/><w:szCs w:val="24"/></w:rPr><w:t xml:space="preserve">Generalmente, las fortalezas y debilidades son aspectos de los cuales se tiene un mayor control en la organización. Se identifican y analizan componentes tales como: recursos de capital, recursos humanos, sistemas de información y análisis del entorno en cuanto a las actividades que se desarrollan dentro de la empresa. Entre las características que entran en este análisis se encuentran: administración y organización, operaciones, finanzas y, otros que considere la persona responsable de ese estudio. </w:t></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i/><w:sz w:val="24"/><w:szCs w:val="24"/></w:rPr><w:t>Análisis Externo:</w:t></w:r></w:p><w:p><w:pPr><w:pStyle w:val="style0"/><w:spacing w:line="360" w:lineRule="auto"/><w:jc w:val="both"/></w:pPr><w:r><w:rPr><w:rFonts w:ascii="Times New Roman" w:hAnsi="Times New Roman"/><w:b/><w:sz w:val="24"/><w:szCs w:val="24"/><w:u w:val="single"/></w:rPr></w:r></w:p><w:p><w:pPr><w:pStyle w:val="style0"/><w:spacing w:line="360" w:lineRule="auto"/><w:jc w:val="both"/></w:pPr><w:r><w:rPr><w:rFonts w:ascii="Times New Roman" w:hAnsi="Times New Roman"/><w:sz w:val="24"/><w:szCs w:val="24"/></w:rPr><w:t xml:space="preserve">     </w:t></w:r><w:r><w:rPr><w:rFonts w:ascii="Times New Roman" w:hAnsi="Times New Roman"/><w:sz w:val="24"/><w:szCs w:val="24"/></w:rPr><w:t xml:space="preserve">Este se centra en el análisis de las oportunidades que pueden afectar de manera positiva el desempeño de la organización. Igualmente, las amenazas que se consideran en determinadas situaciones donde se presenta la “dificultad para alcanzar altos niveles de ejecución”. Entre los aspectos analizados, se pueden mencionar los siguientes: instituciones públicas, comunidades, empresas privadas relacionadas a la competencia, aspectos políticos, legales, entre otros.  Generalmente, estos son aspectos de los cuales no se tienen, prácticamente control alguno. </w:t></w:r></w:p><w:p><w:pPr><w:pStyle w:val="style0"/><w:spacing w:line="360" w:lineRule="auto"/><w:jc w:val="both"/></w:pPr><w:r><w:rPr><w:rFonts w:ascii="Times New Roman" w:hAnsi="Times New Roman"/><w:sz w:val="24"/><w:szCs w:val="24"/></w:rPr></w:r></w:p><w:p><w:pPr><w:pStyle w:val="style0"/><w:spacing w:after="720" w:before="0" w:line="100" w:lineRule="atLeast"/><w:jc w:val="both"/></w:pPr><w:r><w:rPr><w:rFonts w:ascii="Times New Roman" w:hAnsi="Times New Roman"/><w:b/><w:i/><w:sz w:val="24"/><w:szCs w:val="24"/></w:rPr><w:t>Estrategia</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Para aprovechar las fortalezas de la organización y las oportunidades del entorno, así como la búsqueda de la minimización de las debilidades internas y amenazas externas, se deben aplicar estrategias, como segundo paso, que promuevan el equilibrio en estos cuatro elementos, y contribuyan al logro de los objetivos de la organización. Por tanto, Chávez (2007:36), refiere que la estrategia es “la anticipación a las oportunidades y amenazas, con el fin de fortalecernos y adaptarnos a los cambios y conseguir una posición competitiva, y sostenida en el tiempo”.</w:t></w:r></w:p><w:p><w:pPr><w:pStyle w:val="style0"/><w:spacing w:after="720" w:before="0" w:line="100" w:lineRule="atLeast"/><w:jc w:val="both"/></w:pPr><w:r><w:rPr><w:rFonts w:ascii="Times New Roman" w:hAnsi="Times New Roman"/><w:sz w:val="24"/><w:szCs w:val="24"/></w:rPr><w:t xml:space="preserve">     </w:t></w:r><w:r><w:rPr><w:rFonts w:ascii="Times New Roman" w:hAnsi="Times New Roman"/><w:sz w:val="24"/><w:szCs w:val="24"/></w:rPr><w:t>A continuac</w:t></w:r><w:bookmarkStart w:id="116" w:name="_Toc323927334"/><w:bookmarkStart w:id="117" w:name="_Toc323928051"/><w:r><w:rPr><w:rFonts w:ascii="Times New Roman" w:hAnsi="Times New Roman"/><w:sz w:val="24"/><w:szCs w:val="24"/></w:rPr><w:t>ión se muestra una Matriz FODA:</w:t></w:r></w:p><w:p><w:pPr><w:pStyle w:val="style0"/><w:spacing w:after="720" w:before="0" w:line="100" w:lineRule="atLeast"/><w:jc w:val="both"/></w:pPr><w:r><w:rPr><w:rFonts w:ascii="Times New Roman" w:hAnsi="Times New Roman"/><w:sz w:val="24"/><w:szCs w:val="24"/></w:rPr></w:r></w:p><w:p><w:pPr><w:pStyle w:val="style0"/><w:spacing w:after="720" w:before="0" w:line="100" w:lineRule="atLeast"/><w:jc w:val="both"/></w:pPr><w:r><w:rPr><w:rFonts w:ascii="Times New Roman" w:hAnsi="Times New Roman"/><w:sz w:val="24"/><w:szCs w:val="24"/></w:rPr></w:r></w:p><w:p><w:pPr><w:pStyle w:val="style0"/><w:jc w:val="center"/></w:pPr><w:bookmarkStart w:id="118" w:name="_Toc323927512"/><w:r><w:rPr><w:rFonts w:ascii="Times New Roman" w:hAnsi="Times New Roman"/><w:b/><w:sz w:val="24"/><w:szCs w:val="24"/></w:rPr><w:t>FIGURA Nº2</w:t></w:r><w:r><w:rPr><w:rFonts w:ascii="Times New Roman" w:hAnsi="Times New Roman"/><w:sz w:val="24"/><w:szCs w:val="24"/></w:rPr><w:t xml:space="preserve">. </w:t></w:r><w:bookmarkEnd w:id="116"/><w:bookmarkEnd w:id="117"/><w:bookmarkEnd w:id="118"/><w:r><w:rPr><w:rStyle w:val="style23"/><w:rFonts w:ascii="Times New Roman" w:eastAsia="Calibri" w:hAnsi="Times New Roman"/><w:b w:val="false"/><w:sz w:val="24"/><w:szCs w:val="24"/></w:rPr><w:t>Formato Matriz FODA</w:t></w:r></w:p><w:p><w:pPr><w:pStyle w:val="style0"/><w:spacing w:line="360" w:lineRule="auto"/><w:jc w:val="both"/></w:pPr><w:r><w:rPr><w:rFonts w:ascii="Times New Roman" w:hAnsi="Times New Roman"/><w:sz w:val="24"/><w:szCs w:val="24"/></w:rPr><w:drawing><wp:anchor allowOverlap="1" behindDoc="1" distB="0" distL="0" distR="0" distT="0" layoutInCell="1" locked="0" relativeHeight="0" simplePos="0"><wp:simplePos x="0" y="0"/><wp:positionH relativeFrom="character"><wp:posOffset>902970</wp:posOffset></wp:positionH><wp:positionV relativeFrom="line"><wp:posOffset>36195</wp:posOffset></wp:positionV><wp:extent cx="3299460" cy="2186940"/><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2"/><a:srcRect/><a:stretch><a:fillRect/></a:stretch></pic:blipFill><pic:spPr bwMode="auto"><a:xfrm><a:off x="0" y="0"/><a:ext cx="3299460" cy="2186940"/></a:xfrm><a:prstGeom prst="rect"><a:avLst/></a:prstGeom><a:noFill/><a:ln w="9525"><a:noFill/><a:miter lim="800000"/><a:headEnd/><a:tailEnd/></a:ln></pic:spPr></pic:pic></a:graphicData></a:graphic></wp:anchor></w:drawing></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sz w:val="24"/><w:szCs w:val="24"/></w:rPr></w:r></w:p><w:p><w:pPr><w:pStyle w:val="style0"/><w:spacing w:line="100" w:lineRule="atLeast"/></w:pPr><w:r><w:rPr><w:rFonts w:ascii="Times New Roman" w:hAnsi="Times New Roman"/><w:sz w:val="24"/><w:szCs w:val="24"/></w:rPr></w:r></w:p><w:p><w:pPr><w:pStyle w:val="style0"/><w:spacing w:line="100" w:lineRule="atLeast"/></w:pPr><w:r><w:rPr><w:rFonts w:ascii="Times New Roman" w:hAnsi="Times New Roman"/><w:b/><w:sz w:val="20"/><w:szCs w:val="20"/></w:rPr><w:t>Fuente:</w:t></w:r><w:r><w:rPr><w:rFonts w:ascii="Times New Roman" w:hAnsi="Times New Roman"/><w:sz w:val="20"/><w:szCs w:val="20"/></w:rPr><w:t xml:space="preserve"> Amaya (2007). Gerencia: Planeación &amp; Estrategia.</w:t></w:r></w:p><w:p><w:pPr><w:pStyle w:val="style0"/><w:spacing w:line="100" w:lineRule="atLeast"/></w:pPr><w:r><w:rPr><w:rFonts w:ascii="Times New Roman" w:hAnsi="Times New Roman"/><w:sz w:val="20"/><w:szCs w:val="20"/></w:rPr></w:r></w:p><w:p><w:pPr><w:pStyle w:val="style0"/><w:spacing w:line="360" w:lineRule="auto"/><w:jc w:val="both"/></w:pPr><w:r><w:rPr><w:rFonts w:ascii="Times New Roman" w:hAnsi="Times New Roman"/><w:sz w:val="24"/><w:szCs w:val="24"/></w:rPr><w:t xml:space="preserve">     </w:t></w:r><w:r><w:rPr><w:rFonts w:ascii="Times New Roman" w:hAnsi="Times New Roman"/><w:sz w:val="24"/><w:szCs w:val="24"/></w:rPr><w:t>Seguidamente, el autor presenta los cuatro tipos de estrategias que se plantean para la discusión y la consecución de las soluciones para el logro de los objetivos de la empresa, información extraída de la misma fuente del formato de la Matriz FODA.</w:t></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i/><w:sz w:val="24"/><w:szCs w:val="24"/></w:rPr><w:t xml:space="preserve">     </w:t></w:r><w:r><w:rPr><w:rFonts w:ascii="Times New Roman" w:hAnsi="Times New Roman"/><w:i/><w:sz w:val="24"/><w:szCs w:val="24"/></w:rPr><w:t>Estrategia FO</w:t></w:r><w:r><w:rPr><w:rFonts w:ascii="Times New Roman" w:hAnsi="Times New Roman"/><w:sz w:val="24"/><w:szCs w:val="24"/></w:rPr><w:t xml:space="preserve">: situación donde se maximiza tanto las fortalezas como las oportunidades, haciendo uso de los recursos para el aprovechamiento de las oportunidades que se presenten. </w:t></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i/><w:sz w:val="24"/><w:szCs w:val="24"/></w:rPr><w:t xml:space="preserve">     </w:t></w:r><w:r><w:rPr><w:rFonts w:ascii="Times New Roman" w:hAnsi="Times New Roman"/><w:i/><w:sz w:val="24"/><w:szCs w:val="24"/></w:rPr><w:t>Estrategia FA</w:t></w:r><w:r><w:rPr><w:rFonts w:ascii="Times New Roman" w:hAnsi="Times New Roman"/><w:sz w:val="24"/><w:szCs w:val="24"/></w:rPr><w:t xml:space="preserve">: el objetivo es la maximización de las fortalezas y la minimización de las amenazas, a través del uso de las primeras en la medida que puedan a ayudar a contrarrestar las segundas. </w:t></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i/><w:sz w:val="24"/><w:szCs w:val="24"/></w:rPr><w:t xml:space="preserve">     </w:t></w:r><w:r><w:rPr><w:rFonts w:ascii="Times New Roman" w:hAnsi="Times New Roman"/><w:i/><w:sz w:val="24"/><w:szCs w:val="24"/></w:rPr><w:t>Estrategia DO</w:t></w:r><w:r><w:rPr><w:rFonts w:ascii="Times New Roman" w:hAnsi="Times New Roman"/><w:sz w:val="24"/><w:szCs w:val="24"/></w:rPr><w:t xml:space="preserve">: se encarga de la minimización de las debilidades y maximización de las oportunidades. Con estas estrategias se logran identificar las oportunidades, sin embargo, las debilidades no permiten el aprovechamiento de esos beneficios que nos ofrezca el entorno. </w:t></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i/><w:sz w:val="24"/><w:szCs w:val="24"/></w:rPr><w:t xml:space="preserve">     </w:t></w:r><w:r><w:rPr><w:rFonts w:ascii="Times New Roman" w:hAnsi="Times New Roman"/><w:i/><w:sz w:val="24"/><w:szCs w:val="24"/></w:rPr><w:t>Estrategia DA</w:t></w:r><w:r><w:rPr><w:rFonts w:ascii="Times New Roman" w:hAnsi="Times New Roman"/><w:sz w:val="24"/><w:szCs w:val="24"/></w:rPr><w:t xml:space="preserve">: tiene por objetivo minimizar tanto debilidades como amenazas. Sin embargo, es una situación delicada debido a que la organización se le dificulta mantenerse en el mercado, y de no lograr hacerlo opta por su liquidación. </w:t></w:r></w:p><w:p><w:pPr><w:pStyle w:val="style0"/><w:spacing w:line="360" w:lineRule="auto"/><w:jc w:val="both"/></w:pPr><w:r><w:rPr><w:rFonts w:ascii="Times New Roman" w:hAnsi="Times New Roman"/><w:b/><w:sz w:val="24"/><w:szCs w:val="24"/></w:rPr></w:r></w:p><w:p><w:pPr><w:pStyle w:val="style2"/><w:numPr><w:ilvl w:val="1"/><w:numId w:val="1"/></w:numPr><w:spacing w:after="28" w:before="240"/></w:pPr><w:bookmarkStart w:id="119" w:name="__RefHeading__24288_1557213427"/><w:bookmarkStart w:id="120" w:name="_Toc323928052"/><w:bookmarkStart w:id="121" w:name="_Toc323927335"/><w:bookmarkStart w:id="122" w:name="_Toc323927117"/><w:bookmarkStart w:id="123" w:name="_Toc323926899"/><w:bookmarkStart w:id="124" w:name="_Toc322114585"/><w:bookmarkStart w:id="125" w:name="_Toc432365750"/><w:bookmarkEnd w:id="119"/><w:bookmarkEnd w:id="120"/><w:bookmarkEnd w:id="121"/><w:bookmarkEnd w:id="122"/><w:bookmarkEnd w:id="123"/><w:bookmarkEnd w:id="124"/><w:bookmarkEnd w:id="125"/><w:r><w:rPr><w:rFonts w:ascii="Times New Roman" w:hAnsi="Times New Roman"/><w:i w:val="false"/><w:sz w:val="24"/><w:szCs w:val="24"/></w:rPr><w:t>Definición de Términos</w:t></w:r></w:p><w:p><w:pPr><w:pStyle w:val="style0"/><w:spacing w:after="28" w:before="0" w:line="360" w:lineRule="auto"/><w:jc w:val="both"/></w:pPr><w:r><w:rPr><w:rFonts w:ascii="Times New Roman" w:hAnsi="Times New Roman"/><w:b/><w:sz w:val="24"/><w:szCs w:val="24"/></w:rPr></w:r></w:p><w:p><w:pPr><w:pStyle w:val="style0"/><w:spacing w:after="28" w:before="0" w:line="360" w:lineRule="auto"/><w:jc w:val="both"/></w:pPr><w:r><w:rPr><w:rFonts w:ascii="Times New Roman" w:hAnsi="Times New Roman"/><w:b/><w:sz w:val="24"/><w:szCs w:val="24"/></w:rPr><w:t>Gestión Financiera,</w:t></w:r><w:r><w:rPr><w:rFonts w:ascii="Times New Roman" w:hAnsi="Times New Roman"/><w:sz w:val="24"/><w:szCs w:val="24"/></w:rPr><w:t xml:space="preserve"> es una de las tradicionales áreas funcionales de la gestión, hallada en cualquier organización, competiéndole los análisis, decisiones y acciones relacionadas con los medios financieros necesarios a la actividad de dicha organización. Así, la función financiera integra todas las tareas relacionadas con el logro, utilización y control de recursos financieros.</w:t></w:r></w:p><w:p><w:pPr><w:pStyle w:val="style0"/><w:spacing w:line="360" w:lineRule="auto"/><w:jc w:val="both"/></w:pPr><w:r><w:rPr><w:rFonts w:ascii="Times New Roman" w:hAnsi="Times New Roman"/><w:b/><w:sz w:val="24"/><w:szCs w:val="24"/></w:rPr><w:t xml:space="preserve">Indicadores Financieros, </w:t></w:r><w:r><w:rPr><w:rFonts w:ascii="Times New Roman" w:hAnsi="Times New Roman"/><w:sz w:val="24"/><w:szCs w:val="24"/></w:rPr><w:t>son índices estadísticos que muestran la evolución de las principales magnitudes de las empresas financieras, comerciales e industriales a través del tiempo.</w:t></w:r></w:p><w:p><w:pPr><w:pStyle w:val="style0"/><w:spacing w:line="360" w:lineRule="auto"/><w:jc w:val="both"/></w:pPr><w:r><w:rPr><w:rFonts w:ascii="Times New Roman" w:hAnsi="Times New Roman"/><w:b/><w:sz w:val="24"/><w:szCs w:val="24"/></w:rPr><w:t xml:space="preserve">Visión, </w:t></w:r><w:r><w:rPr><w:rFonts w:ascii="Times New Roman" w:hAnsi="Times New Roman"/><w:sz w:val="24"/><w:szCs w:val="24"/></w:rPr><w:t>es</w:t></w:r><w:r><w:rPr><w:rFonts w:ascii="Times New Roman" w:hAnsi="Times New Roman"/><w:b/><w:sz w:val="24"/><w:szCs w:val="24"/></w:rPr><w:t xml:space="preserve"> </w:t></w:r><w:r><w:rPr><w:rFonts w:ascii="Times New Roman" w:hAnsi="Times New Roman"/><w:bCs/><w:sz w:val="24"/><w:szCs w:val="24"/></w:rPr><w:t>el camino al cual se dirige la empresa a largo plazo y sirve de rumbo y aliciente para orientar las decisiones estratégicas de crecimiento junto a las de competitividad.</w:t></w:r></w:p><w:p><w:pPr><w:pStyle w:val="style0"/><w:spacing w:line="360" w:lineRule="auto"/><w:jc w:val="both"/></w:pPr><w:r><w:rPr><w:rFonts w:ascii="Times New Roman" w:hAnsi="Times New Roman"/><w:b/><w:sz w:val="24"/><w:szCs w:val="24"/></w:rPr><w:t xml:space="preserve">Misión, </w:t></w:r><w:r><w:rPr><w:rFonts w:ascii="Times New Roman" w:hAnsi="Times New Roman"/><w:iCs/><w:sz w:val="24"/><w:szCs w:val="24"/></w:rPr><w:t>es el propósito general o razón de ser de la empresa u organización que enuncia a qué clientes sirve, qué necesidades satisface, qué tipos de productos ofrece y en general, cuáles son los límites de sus actividades; por tanto, es aquello que todos los que componen la empresa u organización se sienten impelidos a realizar en el presente y futuro para hacer realidad la visión del empresario o de los ejecutivos.</w:t></w:r></w:p><w:p><w:pPr><w:pStyle w:val="style0"/><w:spacing w:after="0" w:before="0" w:line="360" w:lineRule="auto"/><w:jc w:val="both"/></w:pPr><w:r><w:rPr><w:rFonts w:ascii="Times New Roman" w:hAnsi="Times New Roman"/><w:b/><w:sz w:val="24"/><w:szCs w:val="24"/></w:rPr><w:t xml:space="preserve">Planificación, </w:t></w:r><w:r><w:rPr><w:rFonts w:ascii="Times New Roman" w:hAnsi="Times New Roman"/><w:sz w:val="24"/><w:szCs w:val="24"/></w:rPr><w:t xml:space="preserve">son los </w:t></w:r><w:r><w:rPr><w:rFonts w:ascii="Times New Roman" w:hAnsi="Times New Roman"/><w:bCs/><w:iCs/><w:sz w:val="24"/><w:szCs w:val="24"/></w:rPr><w:t>esfuerzos</w:t></w:r><w:r><w:rPr><w:rFonts w:ascii="Times New Roman" w:hAnsi="Times New Roman"/><w:iCs/><w:sz w:val="24"/><w:szCs w:val="24"/></w:rPr><w:t xml:space="preserve"> que se realizan a fin de </w:t></w:r><w:r><w:rPr><w:rFonts w:ascii="Times New Roman" w:hAnsi="Times New Roman"/><w:bCs/><w:iCs/><w:sz w:val="24"/><w:szCs w:val="24"/></w:rPr><w:t>cumplir objetivos y hacer realidad diversos propósitos</w:t></w:r><w:r><w:rPr><w:rFonts w:ascii="Times New Roman" w:hAnsi="Times New Roman"/><w:iCs/><w:sz w:val="24"/><w:szCs w:val="24"/></w:rPr><w:t>.</w:t></w:r></w:p><w:p><w:pPr><w:pStyle w:val="style0"/><w:spacing w:after="0" w:before="0" w:line="100" w:lineRule="atLeast"/><w:jc w:val="both"/></w:pPr><w:r><w:rPr><w:rFonts w:ascii="Times New Roman" w:hAnsi="Times New Roman"/><w:iCs/><w:sz w:val="24"/><w:szCs w:val="24"/></w:rPr></w:r></w:p><w:p><w:pPr><w:pStyle w:val="style0"/><w:spacing w:after="0" w:before="0" w:line="360" w:lineRule="auto"/><w:jc w:val="both"/></w:pPr><w:r><w:rPr><w:rFonts w:ascii="Times New Roman" w:hAnsi="Times New Roman"/><w:b/><w:iCs/><w:sz w:val="24"/><w:szCs w:val="24"/></w:rPr><w:t>Objetivos Estratégicos</w:t></w:r><w:r><w:rPr><w:rFonts w:ascii="Times New Roman" w:hAnsi="Times New Roman"/><w:iCs/><w:sz w:val="24"/><w:szCs w:val="24"/></w:rPr><w:t>, son aquellas planteadas por una organización para lograr determinadas metas y a largo plazo la posición de la organización en un mercado específico, es decir, son los resultados que la empresa espera alcanzar en un tiempo mayor a un año, realizando acciones que le permitan cumplir con su misión, inspirados en la visión.</w:t></w:r></w:p><w:p><w:pPr><w:pStyle w:val="style0"/><w:spacing w:after="0" w:before="0" w:line="100" w:lineRule="atLeast"/><w:jc w:val="both"/></w:pPr><w:r><w:rPr><w:rFonts w:ascii="Times New Roman" w:hAnsi="Times New Roman"/><w:iCs/><w:sz w:val="24"/><w:szCs w:val="24"/></w:rPr></w:r></w:p><w:p><w:pPr><w:pStyle w:val="style0"/><w:spacing w:after="0" w:before="0" w:line="100" w:lineRule="atLeast"/><w:jc w:val="both"/></w:pPr><w:r><w:rPr><w:rFonts w:ascii="Times New Roman" w:hAnsi="Times New Roman"/><w:iCs/><w:sz w:val="24"/><w:szCs w:val="24"/></w:rPr></w:r></w:p><w:p><w:pPr><w:pStyle w:val="style0"/><w:shd w:fill="FFFFFF" w:val="clear"/></w:pPr><w:r><w:rPr><w:color w:val="000000"/></w:rPr><w:br/></w:r></w:p><w:p><w:pPr><w:pStyle w:val="style0"/><w:spacing w:line="360" w:lineRule="auto"/><w:jc w:val="both"/></w:pPr><w:r><w:rPr><w:rFonts w:ascii="Times New Roman" w:hAnsi="Times New Roman"/><w:iCs/><w:sz w:val="24"/><w:szCs w:val="24"/></w:rPr></w:r></w:p><w:p><w:pPr><w:pStyle w:val="style0"/><w:tabs><w:tab w:leader="none" w:pos="6263" w:val="left"/></w:tabs><w:spacing w:after="384" w:before="160" w:line="360" w:lineRule="auto"/><w:jc w:val="both"/></w:pPr><w:r><w:rPr><w:rFonts w:ascii="Times New Roman" w:hAnsi="Times New Roman"/><w:sz w:val="24"/><w:szCs w:val="24"/></w:rPr></w:r></w:p><w:p><w:pPr><w:pStyle w:val="style0"/><w:tabs><w:tab w:leader="none" w:pos="6263" w:val="left"/></w:tabs><w:spacing w:after="384" w:before="160" w:line="360" w:lineRule="auto"/><w:jc w:val="both"/></w:pPr><w:r><w:rPr><w:rFonts w:ascii="Times New Roman" w:hAnsi="Times New Roman"/><w:sz w:val="24"/><w:szCs w:val="24"/></w:rPr></w:r></w:p><w:p><w:pPr><w:pStyle w:val="style0"/><w:tabs><w:tab w:leader="none" w:pos="6263" w:val="left"/></w:tabs><w:spacing w:after="384" w:before="160" w:line="360" w:lineRule="auto"/><w:jc w:val="both"/></w:pPr><w:r><w:rPr><w:rFonts w:ascii="Times New Roman" w:hAnsi="Times New Roman"/><w:sz w:val="24"/><w:szCs w:val="24"/></w:rPr></w:r></w:p><w:p><w:pPr><w:pStyle w:val="style0"/><w:tabs><w:tab w:leader="none" w:pos="6263" w:val="left"/></w:tabs><w:spacing w:after="384" w:before="160" w:line="360" w:lineRule="auto"/><w:jc w:val="both"/></w:pPr><w:r><w:rPr><w:rFonts w:ascii="Times New Roman" w:hAnsi="Times New Roman"/><w:sz w:val="24"/><w:szCs w:val="24"/></w:rPr></w:r></w:p><w:p><w:pPr><w:pStyle w:val="style0"/><w:tabs><w:tab w:leader="none" w:pos="6263" w:val="left"/></w:tabs><w:spacing w:after="384" w:before="160" w:line="360" w:lineRule="auto"/><w:jc w:val="both"/></w:pPr><w:r><w:rPr><w:rFonts w:ascii="Times New Roman" w:hAnsi="Times New Roman"/><w:sz w:val="24"/><w:szCs w:val="24"/></w:rPr></w:r></w:p><w:p><w:pPr><w:pStyle w:val="style0"/><w:tabs><w:tab w:leader="none" w:pos="6263" w:val="left"/></w:tabs><w:spacing w:after="384" w:before="160" w:line="360" w:lineRule="auto"/><w:jc w:val="both"/></w:pPr><w:r><w:rPr><w:rFonts w:ascii="Times New Roman" w:hAnsi="Times New Roman"/><w:sz w:val="24"/><w:szCs w:val="24"/></w:rPr></w:r></w:p><w:p><w:pPr><w:pStyle w:val="style1"/><w:spacing w:after="0" w:before="0" w:line="360" w:lineRule="auto"/><w:jc w:val="center"/></w:pPr><w:bookmarkStart w:id="126" w:name="__RefHeading__24290_1557213427"/><w:bookmarkStart w:id="127" w:name="_Toc323928053"/><w:bookmarkStart w:id="128" w:name="_Toc323927336"/><w:bookmarkStart w:id="129" w:name="_Toc323927118"/><w:bookmarkStart w:id="130" w:name="_Toc323926900"/><w:bookmarkStart w:id="131" w:name="_Toc432365751"/><w:bookmarkEnd w:id="126"/><w:bookmarkEnd w:id="127"/><w:bookmarkEnd w:id="128"/><w:bookmarkEnd w:id="129"/><w:bookmarkEnd w:id="130"/><w:bookmarkEnd w:id="131"/><w:r><w:rPr><w:rFonts w:ascii="Times New Roman" w:hAnsi="Times New Roman"/><w:sz w:val="24"/><w:szCs w:val="24"/><w:lang w:val="es-ES"/></w:rPr><w:t>CAPÍTULO III</w:t></w:r></w:p><w:p><w:pPr><w:pStyle w:val="style1"/><w:spacing w:after="0" w:before="0" w:line="360" w:lineRule="auto"/><w:jc w:val="center"/></w:pPr><w:bookmarkStart w:id="132" w:name="__RefHeading__24292_1557213427"/><w:bookmarkStart w:id="133" w:name="_Toc323928054"/><w:bookmarkStart w:id="134" w:name="_Toc323927337"/><w:bookmarkStart w:id="135" w:name="_Toc323927119"/><w:bookmarkStart w:id="136" w:name="_Toc323926901"/><w:bookmarkStart w:id="137" w:name="_Toc432365752"/><w:bookmarkEnd w:id="132"/><w:bookmarkEnd w:id="133"/><w:bookmarkEnd w:id="134"/><w:bookmarkEnd w:id="135"/><w:bookmarkEnd w:id="136"/><w:bookmarkEnd w:id="137"/><w:r><w:rPr><w:rFonts w:ascii="Times New Roman" w:hAnsi="Times New Roman"/><w:sz w:val="24"/><w:szCs w:val="24"/><w:lang w:val="es-ES"/></w:rPr><w:t>MARCO METODOLÓGICO</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En esta sección, se abordan aquellos aspectos  metodológicos empleados para la consecución de los objetivos planteados en la investigación</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Según Arias (2006), “la metodología del proyecto incluye el tipo o tipos de investigación, las técnicas y los instrumentos que serán utilizados para llevar a cabo la indagación”. </w:t></w:r></w:p><w:p><w:pPr><w:pStyle w:val="style2"/><w:numPr><w:ilvl w:val="1"/><w:numId w:val="1"/></w:numPr><w:spacing w:after="720" w:before="240" w:line="100" w:lineRule="atLeast"/></w:pPr><w:bookmarkStart w:id="138" w:name="__RefHeading__24294_1557213427"/><w:bookmarkStart w:id="139" w:name="_Toc421042154"/><w:bookmarkStart w:id="140" w:name="_Toc414211436"/><w:bookmarkStart w:id="141" w:name="_Toc432365753"/><w:bookmarkEnd w:id="138"/><w:bookmarkEnd w:id="139"/><w:bookmarkEnd w:id="140"/><w:bookmarkEnd w:id="141"/><w:r><w:rPr><w:rFonts w:ascii="Times New Roman" w:hAnsi="Times New Roman"/><w:i w:val="false"/><w:sz w:val="24"/><w:szCs w:val="24"/><w:lang w:val="es-ES"/></w:rPr><w:t>Nivel de Investigación</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El nivel de la investigación revela la exhaustividad del estudio del fenómeno a abordar.  </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Según Arias (2006:23), “el nivel de investigación se refiere al grado de profundidad con que se aborda un fenómeno u objeto de estudio”. Y esta puede ser exploratoria, descriptiva o explicativa.</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De acuerdo con esta investigación que se titula “Propuesta de un Modelo de Planificación Financiera basado en el Balanced Scorecard para la Maximización de Beneficios del Frigorífico Industrial Carabobo ubicado en el Municipio Valencia, Estado Carabobo”, el nivel se define como Investigación Descriptiva, la cual esta conceptualizada por Arias (2006) como:</w:t></w:r></w:p><w:p><w:pPr><w:pStyle w:val="style0"/><w:spacing w:after="720" w:before="0" w:line="100" w:lineRule="atLeast"/><w:ind w:hanging="0" w:left="567" w:right="566"/><w:jc w:val="both"/></w:pPr><w:r><w:rPr><w:rFonts w:ascii="Times New Roman" w:hAnsi="Times New Roman"/><w:sz w:val="24"/><w:szCs w:val="24"/><w:lang w:val="es-ES"/></w:rPr><w:t>La caracterización de un hecho, fenómeno, individuo o grupo, con el fin de establecer su estructura o comportamiento. Los resultados de este tipo de investigación se ubican en un nivel intermedio en cuanto a la profundidad de los conocimientos se refiere (p-24).</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Esto debido a que se quiere describir la situación actual de la empresa a través de un análisis interno y externo, además de su situación financiera, por medio de los estados financieros históricos de la empresa en estudio. </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Este tipo de análisis dentro del argot metodológico representa un nivel intermedio de estudio en cuanto a la profundidad de los conocimientos.</w:t></w:r></w:p><w:p><w:pPr><w:pStyle w:val="style2"/><w:numPr><w:ilvl w:val="1"/><w:numId w:val="1"/></w:numPr><w:spacing w:after="720" w:before="240" w:line="100" w:lineRule="atLeast"/></w:pPr><w:bookmarkStart w:id="142" w:name="__RefHeading__24296_1557213427"/><w:bookmarkStart w:id="143" w:name="_Toc414211437"/><w:bookmarkStart w:id="144" w:name="_Toc323928056"/><w:bookmarkStart w:id="145" w:name="_Toc432365754"/><w:bookmarkEnd w:id="142"/><w:bookmarkEnd w:id="143"/><w:bookmarkEnd w:id="144"/><w:bookmarkEnd w:id="145"/><w:r><w:rPr><w:rFonts w:ascii="Times New Roman" w:hAnsi="Times New Roman"/><w:i w:val="false"/><w:sz w:val="24"/><w:szCs w:val="24"/><w:lang w:val="es-ES"/></w:rPr><w:t>Diseño de Investigación</w:t></w:r></w:p><w:p><w:pPr><w:pStyle w:val="style0"/><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El diseño de investigación, según Arias (2006:26), consiste en “la estrategia general que adopta el investigador para responder al problema planteado”. </w:t></w:r></w:p><w:p><w:pPr><w:pStyle w:val="style0"/><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A efectos de esta investigación, el diseño es documental, cuya definición según Arias (2006) es la siguiente:</w:t></w:r></w:p><w:p><w:pPr><w:pStyle w:val="style0"/><w:spacing w:after="720" w:before="60" w:line="100" w:lineRule="atLeast"/><w:ind w:hanging="0" w:left="567" w:right="566"/><w:jc w:val="both"/></w:pPr><w:r><w:rPr><w:rFonts w:ascii="Times New Roman" w:hAnsi="Times New Roman"/><w:sz w:val="24"/><w:szCs w:val="24"/><w:lang w:val="es-ES"/></w:rPr><w:t>…</w:t></w:r><w:r><w:rPr><w:rFonts w:ascii="Times New Roman" w:hAnsi="Times New Roman"/><w:sz w:val="24"/><w:szCs w:val="24"/><w:lang w:val="es-ES"/></w:rPr><w:t xml:space="preserve">es un proceso basado en la búsqueda, recuperación, análisis, crítica e interpretación de </w:t></w:r><w:r><w:rPr><w:rFonts w:ascii="Times New Roman" w:hAnsi="Times New Roman"/><w:i/><w:sz w:val="24"/><w:szCs w:val="24"/><w:lang w:val="es-ES"/></w:rPr><w:t>datos secundarios</w:t></w:r><w:r><w:rPr><w:rFonts w:ascii="Times New Roman" w:hAnsi="Times New Roman"/><w:sz w:val="24"/><w:szCs w:val="24"/><w:lang w:val="es-ES"/></w:rPr><w:t xml:space="preserve">, es decir, los obtenidos y registrados por otros investigadores en fuentes documentales: </w:t></w:r><w:r><w:rPr><w:rFonts w:ascii="Times New Roman" w:hAnsi="Times New Roman"/><w:i/><w:sz w:val="24"/><w:szCs w:val="24"/><w:lang w:val="es-ES"/></w:rPr><w:t>impresas, audiovisuales o electrónicas</w:t></w:r><w:r><w:rPr><w:rFonts w:ascii="Times New Roman" w:hAnsi="Times New Roman"/><w:sz w:val="24"/><w:szCs w:val="24"/><w:lang w:val="es-ES"/></w:rPr><w:t>. (p-27)</w:t></w:r></w:p><w:p><w:pPr><w:pStyle w:val="style0"/><w:spacing w:after="0" w:before="0" w:line="360" w:lineRule="auto"/><w:ind w:hanging="0" w:left="0" w:right="-1"/><w:jc w:val="both"/></w:pPr><w:r><w:rPr><w:rFonts w:ascii="Times New Roman" w:hAnsi="Times New Roman"/><w:sz w:val="24"/><w:szCs w:val="24"/><w:lang w:val="es-ES"/></w:rPr><w:t xml:space="preserve">     </w:t></w:r><w:r><w:rPr><w:rFonts w:ascii="Times New Roman" w:hAnsi="Times New Roman"/><w:sz w:val="24"/><w:szCs w:val="24"/><w:lang w:val="es-ES"/></w:rPr><w:t xml:space="preserve">Esto debido a que se tomarán los estados financieros históricos del Frigorífico Industrial Carabobo (FRINCA), para calcular los indicadores financieros que permitan analizar la salud de la empresa actualmente; lo cual servirá de ayuda para la propuesta de un plan de gestión financiera que permita la mejora económico-administrativa de la empresa. </w:t></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720" w:before="0" w:line="360" w:lineRule="auto"/><w:ind w:hanging="0" w:left="0" w:right="-1"/><w:jc w:val="both"/></w:pPr><w:r><w:rPr><w:rFonts w:ascii="Times New Roman" w:hAnsi="Times New Roman"/><w:sz w:val="24"/><w:szCs w:val="24"/><w:lang w:val="es-ES"/></w:rPr><w:t xml:space="preserve">     </w:t></w:r><w:r><w:rPr><w:rFonts w:ascii="Times New Roman" w:hAnsi="Times New Roman"/><w:sz w:val="24"/><w:szCs w:val="24"/><w:lang w:val="es-ES"/></w:rPr><w:t xml:space="preserve">La fuente de la información es </w:t></w:r><w:r><w:rPr><w:rFonts w:ascii="Times New Roman" w:hAnsi="Times New Roman"/><w:i/><w:sz w:val="24"/><w:szCs w:val="24"/><w:lang w:val="es-ES"/></w:rPr><w:t>primaria</w:t></w:r><w:r><w:rPr><w:rFonts w:ascii="Times New Roman" w:hAnsi="Times New Roman"/><w:sz w:val="24"/><w:szCs w:val="24"/><w:lang w:val="es-ES"/></w:rPr><w:t>, debido a que se recoge estados financieros de la empresa, sin ninguna manipulación por parte del investigador. La cual es proveniente del Departamento de Contabilidad del Frigorífico Industrial Carabobo (FRINCA). Por su parte, la información que se utiliza para el marco teórico es</w:t></w:r><w:r><w:rPr><w:rFonts w:ascii="Times New Roman" w:hAnsi="Times New Roman"/><w:i/><w:sz w:val="24"/><w:szCs w:val="24"/><w:lang w:val="es-ES"/></w:rPr><w:t xml:space="preserve"> secundaria</w:t></w:r><w:r><w:rPr><w:rFonts w:ascii="Times New Roman" w:hAnsi="Times New Roman"/><w:sz w:val="24"/><w:szCs w:val="24"/><w:lang w:val="es-ES"/></w:rPr><w:t xml:space="preserve">, </w:t></w:r><w:r><w:rPr><w:rFonts w:ascii="Times New Roman" w:hAnsi="Times New Roman"/><w:sz w:val="24"/><w:szCs w:val="24"/></w:rPr><w:t>porque provienen de investigaciones realizadas por otros autores, con respecto al tema propuesto.</w:t></w:r></w:p><w:p><w:pPr><w:pStyle w:val="style2"/><w:numPr><w:ilvl w:val="1"/><w:numId w:val="1"/></w:numPr><w:spacing w:after="720" w:before="240" w:line="100" w:lineRule="atLeast"/></w:pPr><w:bookmarkStart w:id="146" w:name="__RefHeading__24298_1557213427"/><w:bookmarkStart w:id="147" w:name="_Toc414211438"/><w:bookmarkStart w:id="148" w:name="_Toc323928057"/><w:bookmarkStart w:id="149" w:name="_Toc432365755"/><w:bookmarkEnd w:id="146"/><w:bookmarkEnd w:id="147"/><w:bookmarkEnd w:id="148"/><w:bookmarkEnd w:id="149"/><w:r><w:rPr><w:rFonts w:ascii="Times New Roman" w:hAnsi="Times New Roman"/><w:i w:val="false"/><w:sz w:val="24"/><w:szCs w:val="24"/><w:lang w:val="es-ES"/></w:rPr><w:t>Técnicas e Instrumentos de Recolección de Datos</w:t></w:r></w:p><w:p><w:pPr><w:pStyle w:val="style51"/><w:jc w:val="both"/></w:pPr><w:r><w:rPr></w:rPr></w:r></w:p><w:p><w:pPr><w:pStyle w:val="style0"/><w:spacing w:line="360" w:lineRule="auto"/><w:jc w:val="both"/></w:pPr><w:r><w:rPr><w:rFonts w:ascii="Times New Roman" w:hAnsi="Times New Roman"/><w:sz w:val="24"/><w:szCs w:val="24"/><w:lang w:val="es-ES"/></w:rPr><w:t xml:space="preserve">     </w:t></w:r><w:r><w:rPr><w:rFonts w:ascii="Times New Roman" w:hAnsi="Times New Roman"/><w:sz w:val="24"/><w:szCs w:val="24"/><w:lang w:val="es-ES"/></w:rPr><w:t>En este apartado se describirán aquellos procedimientos destinados a obtener la información necesaria para lograr los resultados orientados al cumplimiento de los objetivos de esta investigación.</w:t></w:r></w:p><w:p><w:pPr><w:pStyle w:val="style0"/><w:spacing w:line="360" w:lineRule="auto"/><w:jc w:val="both"/></w:pPr><w:r><w:rPr><w:rFonts w:ascii="Times New Roman" w:hAnsi="Times New Roman"/><w:sz w:val="24"/><w:szCs w:val="24"/><w:lang w:val="es-ES"/></w:rPr></w:r></w:p><w:p><w:pPr><w:pStyle w:val="style0"/><w:spacing w:after="720" w:before="0" w:line="360" w:lineRule="auto"/><w:ind w:hanging="0" w:left="0" w:right="-1"/><w:jc w:val="both"/></w:pPr><w:r><w:rPr><w:rFonts w:ascii="Times New Roman" w:hAnsi="Times New Roman"/><w:sz w:val="24"/><w:szCs w:val="24"/><w:lang w:val="es-ES"/></w:rPr><w:t xml:space="preserve">     </w:t></w:r><w:r><w:rPr><w:rFonts w:ascii="Times New Roman" w:hAnsi="Times New Roman"/><w:sz w:val="24"/><w:szCs w:val="24"/><w:lang w:val="es-ES"/></w:rPr><w:t>Se define técnica como “el procedimiento o forma particular de obtener datos o información” (Arias, 2006:67). Por su parte, el autor define al instrumento como “cualquier recurso, dispositivo o formato (en papel o digital), que se utiliza para obtener, registrar o almacenar información” (p-69).</w:t></w:r></w:p><w:p><w:pPr><w:pStyle w:val="style0"/><w:spacing w:after="720" w:before="0" w:line="360" w:lineRule="auto"/><w:ind w:hanging="0" w:left="0" w:right="-1"/><w:jc w:val="both"/></w:pPr><w:r><w:rPr><w:rFonts w:ascii="Times New Roman" w:hAnsi="Times New Roman"/><w:sz w:val="24"/><w:szCs w:val="24"/><w:lang w:val="es-ES"/></w:rPr><w:t xml:space="preserve">     </w:t></w:r><w:r><w:rPr><w:rFonts w:ascii="Times New Roman" w:hAnsi="Times New Roman"/><w:sz w:val="24"/><w:szCs w:val="24"/><w:lang w:val="es-ES"/></w:rPr><w:t>A efectos de esta investigación, se utilizará la técnica de Análisis Documental la cual se define, según Dulzaides y Molina (2004:2) como:</w:t></w:r></w:p><w:p><w:pPr><w:pStyle w:val="style0"/><w:spacing w:after="720" w:before="0" w:line="100" w:lineRule="atLeast"/><w:ind w:hanging="0" w:left="567" w:right="616"/><w:jc w:val="both"/></w:pPr><w:r><w:rPr><w:rFonts w:ascii="Times New Roman" w:hAnsi="Times New Roman"/><w:sz w:val="24"/><w:szCs w:val="24"/><w:lang w:val="es-ES"/></w:rPr><w:t>es una forma de investigación técnica, un conjunto de operaciones intelectuales, que buscan describir y representar los documentos de forma unificada sistemática para facilitar su recuperación. Comprende el procesamiento analítico- sintético que, a su vez, incluye la descripción bibliográfica y general de la fuente, la clasificación, indización, anotación, extracción, traducción y la confección de reseñas.</w:t></w:r></w:p><w:p><w:pPr><w:pStyle w:val="style0"/><w:spacing w:after="720" w:before="0" w:line="360" w:lineRule="auto"/><w:ind w:hanging="0" w:left="0" w:right="-1"/><w:jc w:val="both"/></w:pPr><w:r><w:rPr><w:rFonts w:ascii="Times New Roman" w:hAnsi="Times New Roman"/><w:sz w:val="24"/><w:szCs w:val="24"/><w:lang w:val="es-ES"/></w:rPr><w:t xml:space="preserve">     </w:t></w:r><w:r><w:rPr><w:rFonts w:ascii="Times New Roman" w:hAnsi="Times New Roman"/><w:sz w:val="24"/><w:szCs w:val="24"/><w:lang w:val="es-ES"/></w:rPr><w:t>Esta investigación realizará análisis a partir de datos financieros proporcionados por el Frigorífico Industrial Carabobo (FRINCA), es por ello que los instrumentos utilizados serán el resumen y el análisis de contenidos, los cuales se realizaran en base a los estados financieros de la empresa.  Por medio de esto se obtendrá la información necesaria para el cumplimiento de los objetivos.</w:t></w:r></w:p><w:p><w:pPr><w:pStyle w:val="style0"/><w:spacing w:after="720" w:before="0" w:line="360" w:lineRule="auto"/><w:ind w:hanging="0" w:left="0" w:right="-1"/><w:jc w:val="both"/></w:pPr><w:r><w:rPr><w:rFonts w:ascii="Times New Roman" w:hAnsi="Times New Roman"/><w:sz w:val="24"/><w:szCs w:val="24"/><w:lang w:val="es-ES"/></w:rPr><w:t xml:space="preserve">     </w:t></w:r><w:r><w:rPr><w:rFonts w:ascii="Times New Roman" w:hAnsi="Times New Roman"/><w:sz w:val="24"/><w:szCs w:val="24"/><w:lang w:val="es-ES"/></w:rPr><w:t xml:space="preserve">Esta se basará en la teoría relacionada para diseñar un modelo acorde a la organización en estudio y que permita la medición de indicadores que encaminen las acciones de los actores que hacen vida en la empresa, hacia los objetivos estratégicos previamente establecidos. </w:t></w:r></w:p><w:p><w:pPr><w:pStyle w:val="style2"/><w:numPr><w:ilvl w:val="1"/><w:numId w:val="1"/></w:numPr><w:spacing w:after="720" w:before="240" w:line="100" w:lineRule="atLeast"/></w:pPr><w:bookmarkStart w:id="150" w:name="__RefHeading__24300_1557213427"/><w:bookmarkStart w:id="151" w:name="_Toc414211439"/><w:bookmarkStart w:id="152" w:name="_Toc432365756"/><w:bookmarkEnd w:id="150"/><w:bookmarkEnd w:id="151"/><w:bookmarkEnd w:id="152"/><w:r><w:rPr><w:rFonts w:ascii="Times New Roman" w:hAnsi="Times New Roman"/><w:i w:val="false"/><w:sz w:val="24"/><w:lang w:val="es-ES"/></w:rPr><w:t>Población y Muestra</w:t></w:r></w:p><w:p><w:pPr><w:pStyle w:val="style0"/><w:spacing w:line="360" w:lineRule="auto"/><w:jc w:val="both"/></w:pPr><w:r><w:rPr><w:rFonts w:ascii="Times New Roman" w:hAnsi="Times New Roman"/><w:sz w:val="24"/><w:lang w:val="es-ES"/></w:rPr><w:t xml:space="preserve">     </w:t></w:r><w:r><w:rPr><w:rFonts w:ascii="Times New Roman" w:hAnsi="Times New Roman"/><w:sz w:val="24"/><w:lang w:val="es-ES"/></w:rPr><w:t>La población según Arias (2006:81), es considerada como “…un conjunto finito o infinito de elementos con características comunes para los cuales serán extensivas las conclusiones de la investigación…”</w:t></w:r></w:p><w:p><w:pPr><w:pStyle w:val="style0"/><w:spacing w:line="360" w:lineRule="auto"/><w:jc w:val="both"/></w:pPr><w:r><w:rPr><w:rFonts w:ascii="Times New Roman" w:hAnsi="Times New Roman"/><w:sz w:val="24"/><w:lang w:val="es-ES"/></w:rPr></w:r></w:p><w:p><w:pPr><w:pStyle w:val="style0"/><w:spacing w:line="360" w:lineRule="auto"/><w:jc w:val="both"/></w:pPr><w:r><w:rPr><w:rFonts w:ascii="Times New Roman" w:hAnsi="Times New Roman"/><w:sz w:val="24"/><w:lang w:val="es-ES"/></w:rPr><w:t xml:space="preserve">     </w:t></w:r><w:r><w:rPr><w:rFonts w:ascii="Times New Roman" w:hAnsi="Times New Roman"/><w:sz w:val="24"/><w:lang w:val="es-ES"/></w:rPr><w:t>A efectos de esta investigación, la unidad de estudio es la empresa, Frigorífico Industrial Carabobo (FRINCA), por tanto la información a considerar proviene de los cierres fiscales correspondientes al periodo 2008-2014. Esto debido a que a partir del año 2008 entró en vigencia la reconversión monetaria en Venezuela, facilitando así el futuro procesamiento de la información.</w:t></w:r></w:p><w:p><w:pPr><w:pStyle w:val="style0"/><w:spacing w:line="360" w:lineRule="auto"/><w:jc w:val="both"/></w:pPr><w:r><w:rPr><w:rFonts w:ascii="Times New Roman" w:hAnsi="Times New Roman"/><w:sz w:val="24"/><w:lang w:val="es-ES"/></w:rPr></w:r></w:p><w:p><w:pPr><w:pStyle w:val="style2"/><w:numPr><w:ilvl w:val="1"/><w:numId w:val="1"/></w:numPr><w:spacing w:after="720" w:before="240" w:line="100" w:lineRule="atLeast"/></w:pPr><w:bookmarkStart w:id="153" w:name="__RefHeading__24302_1557213427"/><w:bookmarkStart w:id="154" w:name="_Toc414211440"/><w:bookmarkStart w:id="155" w:name="_Toc432365757"/><w:bookmarkEnd w:id="153"/><w:bookmarkEnd w:id="154"/><w:bookmarkEnd w:id="155"/><w:r><w:rPr><w:rFonts w:ascii="Times New Roman" w:hAnsi="Times New Roman"/><w:i w:val="false"/><w:sz w:val="24"/><w:lang w:val="es-ES"/></w:rPr><w:t>Técnicas de Procesamiento y Análisis de Datos</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Las Técnicas de Procesamiento y Análisis de Datos las define Arias (2006:111) como “el punto donde se describen las distintas operaciones a la que serán sometidos los datos que se obtengan…”. En cuanto al análisis, continúa el autor, “se definirán las técnicas lógicas (inducción, deducción, análisis-síntesis), o estadísticas (descriptivas o inferenciales), que serán empleadas para descifrar lo que revelan los datos recolectados”.</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En esta investigación el análisis será estadístico-inferencial, debido a que se analizarán  los estados financieros de la empresa FRINCA, a través de la observación, se obtendrá la información necesaria para el cumplimiento de los objetivos planteados.</w:t></w:r></w:p><w:p><w:pPr><w:pStyle w:val="style2"/><w:numPr><w:ilvl w:val="1"/><w:numId w:val="1"/></w:numPr></w:pPr><w:bookmarkStart w:id="156" w:name="__RefHeading__24304_1557213427"/><w:bookmarkStart w:id="157" w:name="_Toc414211441"/><w:bookmarkStart w:id="158" w:name="_Toc412974321"/><w:bookmarkStart w:id="159" w:name="_Toc432365758"/><w:bookmarkEnd w:id="156"/><w:r><w:rPr><w:rFonts w:ascii="Times New Roman" w:hAnsi="Times New Roman"/><w:i w:val="false"/><w:sz w:val="24"/></w:rPr><w:t>Validez y Confiabilidad</w:t></w:r><w:bookmarkEnd w:id="157"/><w:bookmarkEnd w:id="158"/><w:bookmarkEnd w:id="159"/><w:r><w:rPr><w:rFonts w:ascii="Times New Roman" w:hAnsi="Times New Roman"/><w:i w:val="false"/><w:sz w:val="24"/></w:rPr><w:t xml:space="preserve"> </w:t></w:r></w:p><w:p><w:pPr><w:pStyle w:val="style0"/><w:spacing w:line="360" w:lineRule="auto"/><w:jc w:val="both"/></w:pPr><w:r><w:rPr><w:rFonts w:ascii="Times New Roman" w:hAnsi="Times New Roman"/><w:sz w:val="24"/></w:rPr></w:r></w:p><w:p><w:pPr><w:pStyle w:val="style0"/><w:spacing w:line="360" w:lineRule="auto"/><w:jc w:val="both"/></w:pPr><w:r><w:rPr><w:rFonts w:ascii="Times New Roman" w:hAnsi="Times New Roman"/><w:sz w:val="24"/></w:rPr><w:t xml:space="preserve">     </w:t></w:r><w:r><w:rPr><w:rFonts w:ascii="Times New Roman" w:hAnsi="Times New Roman"/><w:sz w:val="24"/></w:rPr><w:t>Con respecto a la validez y confiabilidad de la información a presentar, Hernández Sampieri y otros (1991, p. 277) se  refieren a la validez de un instrumento como “al grado en que un instrumento realmente mide la variable que pretende medir; mientras que la confiabilidad  se refieren al grado en que su aplicación repetida al mismo sujeto u objeto,  produce iguales resultados”.</w:t></w:r></w:p><w:p><w:pPr><w:pStyle w:val="style0"/><w:spacing w:line="360" w:lineRule="auto"/><w:jc w:val="both"/></w:pPr><w:r><w:rPr><w:rFonts w:ascii="Times New Roman" w:hAnsi="Times New Roman"/><w:sz w:val="24"/></w:rPr></w:r></w:p><w:p><w:pPr><w:pStyle w:val="style0"/><w:spacing w:line="360" w:lineRule="auto"/><w:jc w:val="both"/></w:pPr><w:r><w:rPr><w:rFonts w:ascii="Times New Roman" w:hAnsi="Times New Roman"/><w:sz w:val="24"/></w:rPr><w:t xml:space="preserve">     </w:t></w:r><w:r><w:rPr><w:rFonts w:ascii="Times New Roman" w:hAnsi="Times New Roman"/><w:sz w:val="24"/></w:rPr><w:t xml:space="preserve">A efectos de esta investigación los cálculos a realizar serán avalados por el tutor de contenidos, quien es un experto en el área de estudio de este proyecto. </w:t></w:r></w:p><w:p><w:pPr><w:pStyle w:val="style0"/><w:spacing w:line="360" w:lineRule="auto"/><w:jc w:val="both"/></w:pPr><w:r><w:rPr><w:rFonts w:ascii="Times New Roman" w:hAnsi="Times New Roman"/><w:sz w:val="24"/></w:rPr></w:r></w:p><w:p><w:pPr><w:pStyle w:val="style2"/><w:numPr><w:ilvl w:val="1"/><w:numId w:val="1"/></w:numPr></w:pPr><w:bookmarkStart w:id="160" w:name="__RefHeading__24306_1557213427"/><w:bookmarkStart w:id="161" w:name="_Toc414211442"/><w:bookmarkStart w:id="162" w:name="_Toc432365759"/><w:bookmarkEnd w:id="160"/><w:bookmarkEnd w:id="161"/><w:bookmarkEnd w:id="162"/><w:r><w:rPr><w:rFonts w:ascii="Times New Roman" w:hAnsi="Times New Roman"/><w:i w:val="false"/><w:sz w:val="24"/><w:lang w:val="es-ES"/></w:rPr><w:t>Operacionalización de las Variables</w:t></w:r></w:p><w:p><w:pPr><w:pStyle w:val="style0"/></w:pPr><w:r><w:rPr><w:lang w:val="es-ES"/></w:rPr></w:r></w:p><w:p><w:pPr><w:pStyle w:val="style0"/><w:spacing w:after="0" w:before="0" w:line="360" w:lineRule="auto"/><w:ind w:hanging="0" w:left="0" w:right="-1"/><w:jc w:val="both"/></w:pPr><w:r><w:rPr><w:rFonts w:ascii="Times New Roman" w:hAnsi="Times New Roman"/><w:sz w:val="24"/><w:szCs w:val="24"/><w:lang w:val="es-ES"/></w:rPr><w:t xml:space="preserve">     </w:t></w:r><w:r><w:rPr><w:rFonts w:ascii="Times New Roman" w:hAnsi="Times New Roman"/><w:sz w:val="24"/><w:szCs w:val="24"/><w:lang w:val="es-ES"/></w:rPr><w:t>El cuadro técnico metodológico para operacionalizar la investigación y que corresponde al Cuadro 1, está hecho con base al objetivo general del trabajo que funge como variable principal. Dicha variable se logra a través de la consecución de los tres (3) objetivos específicos de la investigación, cuyos indicadores se expresan a continuación:</w:t></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center"/></w:pPr><w:r><w:rPr><w:rFonts w:ascii="Times New Roman" w:hAnsi="Times New Roman"/><w:b/><w:sz w:val="24"/><w:szCs w:val="24"/><w:lang w:val="es-ES"/></w:rPr><w:t>CUADRO 1.</w:t></w:r><w:r><w:rPr><w:rFonts w:ascii="Times New Roman" w:hAnsi="Times New Roman"/><w:sz w:val="24"/><w:szCs w:val="24"/><w:lang w:val="es-ES"/></w:rPr><w:t xml:space="preserve"> Cuadro Técnico-Metodológico</w:t></w:r></w:p><w:p><w:pPr><w:pStyle w:val="style0"/><w:spacing w:after="0" w:before="0" w:line="360" w:lineRule="auto"/><w:ind w:hanging="0" w:left="0" w:right="-1"/><w:jc w:val="both"/></w:pPr><w:r><w:rPr><w:rFonts w:ascii="Times New Roman" w:hAnsi="Times New Roman"/><w:sz w:val="24"/><w:szCs w:val="24"/><w:lang w:val="es-ES"/></w:rPr></w:r></w:p><w:tbl><w:tblPr><w:jc w:val="center"/><w:tblBorders><w:top w:color="000001" w:space="0" w:sz="4" w:val="single"/><w:left w:color="000001" w:space="0" w:sz="4" w:val="single"/><w:bottom w:color="000001" w:space="0" w:sz="4" w:val="single"/><w:right w:color="000001" w:space="0" w:sz="4" w:val="single"/></w:tblBorders></w:tblPr><w:tblGrid><w:gridCol w:w="1575"/><w:gridCol w:w="1748"/><w:gridCol w:w="1628"/><w:gridCol w:w="1788"/><w:gridCol w:w="1428"/><w:gridCol w:w="1376"/></w:tblGrid><w:tr><w:trPr><w:cantSplit w:val="false"/></w:trPr><w:tc><w:tcPr><w:tcW w:type="dxa" w:w="1575"/><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ES"/></w:rPr><w:t>Variable</w:t></w:r></w:p></w:tc><w:tc><w:tcPr><w:tcW w:type="dxa" w:w="174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ES"/></w:rPr><w:t>Objetivo Específico</w:t></w:r></w:p></w:tc><w:tc><w:tcPr><w:tcW w:type="dxa" w:w="1628"/><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ES"/></w:rPr><w:t>Dimensiones</w:t></w:r></w:p></w:tc><w:tc><w:tcPr><w:tcW w:type="dxa" w:w="178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ES"/></w:rPr><w:t>Indicador</w:t></w:r></w:p></w:tc><w:tc><w:tcPr><w:tcW w:type="dxa" w:w="142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ES"/></w:rPr><w:t>Instrumento</w:t></w:r></w:p></w:tc><w:tc><w:tcPr><w:tcW w:type="dxa" w:w="1376"/><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ES"/></w:rPr><w:t>Fuente</w:t></w:r></w:p></w:tc></w:tr><w:tr><w:trPr><w:trHeight w:hRule="atLeast" w:val="5652"/><w:cantSplit w:val="false"/></w:trPr><w:tc><w:tcPr><w:tcW w:type="dxa" w:w="1575"/><w:vMerge w:val="restart"/><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 xml:space="preserve">Proponer un modelo de planificación financiera basado en el </w:t></w:r><w:r><w:rPr><w:rFonts w:ascii="Times New Roman" w:hAnsi="Times New Roman"/><w:i/><w:sz w:val="24"/><w:szCs w:val="24"/><w:lang w:val="es-ES"/></w:rPr><w:t>Balanced Scorecard</w:t></w:r><w:r><w:rPr><w:rFonts w:ascii="Times New Roman" w:hAnsi="Times New Roman"/><w:sz w:val="24"/><w:szCs w:val="24"/><w:lang w:val="es-ES"/></w:rPr><w:t xml:space="preserve"> para la maximización de beneficios del Frigorífico Industrial </w:t></w:r></w:p><w:p><w:pPr><w:pStyle w:val="style0"/><w:spacing w:after="0" w:before="0" w:line="100" w:lineRule="atLeast"/><w:ind w:hanging="0" w:left="0" w:right="-1"/><w:jc w:val="center"/></w:pPr><w:r><w:rPr><w:rFonts w:ascii="Times New Roman" w:hAnsi="Times New Roman"/><w:sz w:val="24"/><w:szCs w:val="24"/><w:lang w:val="es-ES"/></w:rPr><w:t>Carabobo (FRINCA) ubicado en el Municipio Valencia, Estado Carabobo.</w:t></w:r></w:p></w:tc><w:tc><w:tcPr><w:tcW w:type="dxa" w:w="174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tabs><w:tab w:leader="none" w:pos="709" w:val="left"/></w:tabs><w:spacing w:after="0" w:before="0" w:line="100" w:lineRule="atLeast"/><w:jc w:val="center"/></w:pPr><w:r><w:rPr><w:rFonts w:ascii="Times New Roman" w:hAnsi="Times New Roman"/><w:sz w:val="24"/><w:szCs w:val="24"/></w:rPr><w:t>Diagnosticar la salud financiera del Frigorífico Industrial Carabobo (FRINCA) a través del análisis de sus estados financieros.</w:t></w:r></w:p></w:tc><w:tc><w:tcPr><w:tcW w:type="dxa" w:w="1628"/><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Análisis Financiero</w:t></w:r></w:p></w:tc><w:tc><w:tcPr><w:tcW w:type="dxa" w:w="178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-Razones de Liquidez</w:t></w:r></w:p><w:p><w:pPr><w:pStyle w:val="style0"/><w:spacing w:after="0" w:before="0" w:line="100" w:lineRule="atLeast"/><w:ind w:hanging="0" w:left="0" w:right="-1"/><w:jc w:val="center"/></w:pPr><w:r><w:rPr><w:rFonts w:ascii="Times New Roman" w:hAnsi="Times New Roman"/><w:sz w:val="24"/><w:szCs w:val="24"/><w:lang w:val="es-ES"/></w:rPr><w:t>-Razones de Apalancamiento</w:t></w:r></w:p><w:p><w:pPr><w:pStyle w:val="style0"/><w:spacing w:after="0" w:before="0" w:line="100" w:lineRule="atLeast"/><w:ind w:hanging="0" w:left="0" w:right="-1"/><w:jc w:val="center"/></w:pPr><w:r><w:rPr><w:rFonts w:ascii="Times New Roman" w:hAnsi="Times New Roman"/><w:sz w:val="24"/><w:szCs w:val="24"/><w:lang w:val="es-ES"/></w:rPr><w:t>-Razones de Actividad</w:t></w:r></w:p><w:p><w:pPr><w:pStyle w:val="style0"/><w:spacing w:after="0" w:before="0" w:line="100" w:lineRule="atLeast"/><w:ind w:hanging="0" w:left="0" w:right="-1"/><w:jc w:val="center"/></w:pPr><w:r><w:rPr><w:rFonts w:ascii="Times New Roman" w:hAnsi="Times New Roman"/><w:sz w:val="24"/><w:szCs w:val="24"/><w:lang w:val="es-ES"/></w:rPr><w:t>-Razones de Rentabilidad</w:t></w:r></w:p></w:tc><w:tc><w:tcPr><w:tcW w:type="dxa" w:w="142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Revisión Documental</w:t></w:r></w:p></w:tc><w:tc><w:tcPr><w:tcW w:type="dxa" w:w="1376"/><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Frigorífico Industrial Carabobo</w:t></w:r></w:p></w:tc></w:tr><w:tr><w:trPr><w:trHeight w:hRule="atLeast" w:val="2542"/><w:cantSplit w:val="false"/></w:trPr><w:tc><w:tcPr><w:tcW w:type="dxa" w:w="1575"/><w:vMerge w:val="continue"/><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r></w:p></w:tc><w:tc><w:tcPr><w:tcW w:type="dxa" w:w="174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Analizar los factores internos y externos en relación a la gestión financiera que presenta el Frigorífico Industrial Carabobo (FRINCA).</w:t></w:r></w:p></w:tc><w:tc><w:tcPr><w:tcW w:type="dxa" w:w="1628"/><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Características desde el punto de vista operativo de la Empresa</w:t></w:r></w:p></w:tc><w:tc><w:tcPr><w:tcW w:type="dxa" w:w="178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 xml:space="preserve"> </w:t></w:r><w:r><w:rPr><w:rFonts w:ascii="Times New Roman" w:hAnsi="Times New Roman"/><w:sz w:val="24"/><w:szCs w:val="24"/><w:lang w:val="es-ES"/></w:rPr><w:t>(Factores Internos y Externos)</w:t></w:r></w:p><w:p><w:pPr><w:pStyle w:val="style0"/><w:spacing w:after="0" w:before="0" w:line="100" w:lineRule="atLeast"/><w:ind w:hanging="0" w:left="0" w:right="-1"/><w:jc w:val="center"/></w:pPr><w:r><w:rPr><w:rFonts w:ascii="Times New Roman" w:hAnsi="Times New Roman"/><w:sz w:val="24"/><w:szCs w:val="24"/><w:lang w:val="es-ES"/></w:rPr></w:r></w:p></w:tc><w:tc><w:tcPr><w:tcW w:type="dxa" w:w="142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Revisión Documental</w:t></w:r></w:p></w:tc><w:tc><w:tcPr><w:tcW w:type="dxa" w:w="1376"/><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Frigorífico Industrial Carabobo</w:t></w:r></w:p></w:tc></w:tr></w:tbl><w:p><w:pPr><w:pStyle w:val="style0"/><w:spacing w:after="0" w:before="0" w:line="360" w:lineRule="auto"/><w:ind w:hanging="0" w:left="0" w:right="-1"/><w:jc w:val="both"/></w:pPr><w:r><w:rPr><w:rFonts w:ascii="Times New Roman" w:hAnsi="Times New Roman"/><w:sz w:val="24"/><w:szCs w:val="24"/><w:lang w:val="es-ES"/></w:rPr><w:t xml:space="preserve">  </w:t></w:r><w:r><w:rPr><w:rFonts w:ascii="Times New Roman" w:hAnsi="Times New Roman"/><w:sz w:val="24"/><w:szCs w:val="24"/><w:lang w:val="es-ES"/></w:rPr><w:t>Fuente: Bello, V. (2015)</w:t></w:r></w:p><w:p><w:pPr><w:pStyle w:val="style0"/><w:spacing w:after="0" w:before="0" w:line="360" w:lineRule="auto"/><w:ind w:hanging="0" w:left="0" w:right="-1"/><w:jc w:val="both"/></w:pPr><w:r><w:rPr><w:rFonts w:ascii="Times New Roman" w:hAnsi="Times New Roman"/><w:i/><w:sz w:val="24"/><w:szCs w:val="24"/><w:lang w:val="es-ES"/></w:rPr></w:r></w:p><w:p><w:pPr><w:pStyle w:val="style0"/><w:spacing w:after="0" w:before="0" w:line="360" w:lineRule="auto"/><w:ind w:hanging="0" w:left="0" w:right="-1"/><w:jc w:val="both"/></w:pPr><w:r><w:rPr><w:rFonts w:ascii="Times New Roman" w:hAnsi="Times New Roman"/><w:i/><w:sz w:val="24"/><w:szCs w:val="24"/><w:lang w:val="es-ES"/></w:rPr></w:r></w:p><w:p><w:pPr><w:pStyle w:val="style0"/><w:jc w:val="center"/></w:pPr><w:r><w:rPr><w:rFonts w:ascii="Times New Roman" w:hAnsi="Times New Roman"/><w:sz w:val="24"/><w:szCs w:val="24"/><w:lang w:val="es-ES"/></w:rPr><w:t>CONT. CUADRO 1</w:t></w:r></w:p><w:tbl><w:tblPr><w:jc w:val="center"/><w:tblBorders><w:top w:color="000001" w:space="0" w:sz="4" w:val="single"/><w:left w:color="000001" w:space="0" w:sz="4" w:val="single"/><w:bottom w:color="000001" w:space="0" w:sz="4" w:val="single"/><w:right w:color="000001" w:space="0" w:sz="4" w:val="single"/></w:tblBorders></w:tblPr><w:tblGrid><w:gridCol w:w="1575"/><w:gridCol w:w="1749"/><w:gridCol w:w="1627"/><w:gridCol w:w="1788"/><w:gridCol w:w="1427"/><w:gridCol w:w="1377"/></w:tblGrid><w:tr><w:trPr><w:trHeight w:hRule="atLeast" w:val="635"/><w:cantSplit w:val="false"/></w:trPr><w:tc><w:tcPr><w:tcW w:type="dxa" w:w="1575"/><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rPr><w:t>Variable</w:t></w:r></w:p></w:tc><w:tc><w:tcPr><w:tcW w:type="dxa" w:w="1749"/><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rPr><w:t>Objetivo Específico</w:t></w:r></w:p></w:tc><w:tc><w:tcPr><w:tcW w:type="dxa" w:w="162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rPr><w:t>Dimensiones</w:t></w:r></w:p></w:tc><w:tc><w:tcPr><w:tcW w:type="dxa" w:w="178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rPr><w:t>Indicador</w:t></w:r></w:p></w:tc><w:tc><w:tcPr><w:tcW w:type="dxa" w:w="1427"/><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rPr><w:t>Instrumento</w:t></w:r></w:p></w:tc><w:tc><w:tcPr><w:tcW w:type="dxa" w:w="1377"/><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rPr><w:t>Fuente</w:t></w:r></w:p></w:tc></w:tr><w:tr><w:trPr><w:trHeight w:hRule="atLeast" w:val="635"/><w:cantSplit w:val="false"/></w:trPr><w:tc><w:tcPr><w:tcW w:type="dxa" w:w="1575"/><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 xml:space="preserve">Proponer un modelo de planificación financiera basado en el </w:t></w:r><w:r><w:rPr><w:rFonts w:ascii="Times New Roman" w:hAnsi="Times New Roman"/><w:i/><w:sz w:val="24"/><w:szCs w:val="24"/><w:lang w:val="es-ES"/></w:rPr><w:t>Balanced Scorecard</w:t></w:r><w:r><w:rPr><w:rFonts w:ascii="Times New Roman" w:hAnsi="Times New Roman"/><w:sz w:val="24"/><w:szCs w:val="24"/><w:lang w:val="es-ES"/></w:rPr><w:t xml:space="preserve"> para la maximización de beneficios del Frigorífico Industrial Carabobo (FRINCA) ubicado en el Municipio Valencia, Estado Carabobo.</w:t></w:r></w:p></w:tc><w:tc><w:tcPr><w:tcW w:type="dxa" w:w="1749"/><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 xml:space="preserve">Diseñar un modelo de planificación financiera en base al </w:t></w:r><w:r><w:rPr><w:rFonts w:ascii="Times New Roman" w:hAnsi="Times New Roman"/><w:i/><w:sz w:val="24"/><w:szCs w:val="24"/><w:lang w:val="es-ES"/></w:rPr><w:t>Balanced Score Card</w:t></w:r><w:r><w:rPr><w:rFonts w:ascii="Times New Roman" w:hAnsi="Times New Roman"/><w:sz w:val="24"/><w:szCs w:val="24"/><w:lang w:val="es-ES"/></w:rPr><w:t xml:space="preserve"> para la consecución de la maximización de los beneficios.</w:t></w:r></w:p></w:tc><w:tc><w:tcPr><w:tcW w:type="dxa" w:w="1627"/><w:tcBorders><w:top w:color="000001" w:space="0" w:sz="4" w:val="single"/><w:left w:color="000001" w:space="0" w:sz="4" w:val="single"/><w:bottom w:color="000001" w:space="0" w:sz="4" w:val="single"/><w:right w:color="000001" w:space="0" w:sz="4" w:val="single"/></w:tcBorders><w:shd w:fill="auto"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-Planificación Financiera</w:t></w:r></w:p></w:tc><w:tc><w:tcPr><w:tcW w:type="dxa" w:w="178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Cuadro de Mando Integral</w:t></w:r></w:p></w:tc><w:tc><w:tcPr><w:tcW w:type="dxa" w:w="1427"/><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Revisión Documental</w:t></w:r></w:p></w:tc><w:tc><w:tcPr><w:tcW w:type="dxa" w:w="1377"/><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100" w:lineRule="atLeast"/><w:ind w:hanging="0" w:left="0" w:right="-1"/><w:jc w:val="center"/></w:pPr><w:r><w:rPr><w:rFonts w:ascii="Times New Roman" w:hAnsi="Times New Roman"/><w:sz w:val="24"/><w:szCs w:val="24"/><w:lang w:val="es-ES"/></w:rPr><w:t>Frigorífico Industrial Carabobo</w:t></w:r></w:p></w:tc></w:tr></w:tbl><w:p><w:pPr><w:pStyle w:val="style0"/><w:spacing w:after="0" w:before="0" w:line="360" w:lineRule="auto"/><w:ind w:hanging="0" w:left="0" w:right="-1"/><w:jc w:val="both"/></w:pPr><w:r><w:rPr><w:rFonts w:ascii="Times New Roman" w:hAnsi="Times New Roman"/><w:sz w:val="24"/><w:szCs w:val="24"/><w:lang w:val="es-ES"/></w:rPr><w:t xml:space="preserve">  </w:t></w:r><w:r><w:rPr><w:rFonts w:ascii="Times New Roman" w:hAnsi="Times New Roman"/><w:sz w:val="24"/><w:szCs w:val="24"/><w:lang w:val="es-ES"/></w:rPr><w:t>Fuente: Bello, V. (2015)</w:t></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0"/><w:spacing w:after="0" w:before="0" w:line="360" w:lineRule="auto"/><w:ind w:hanging="0" w:left="0" w:right="-1"/><w:jc w:val="both"/></w:pPr><w:r><w:rPr><w:rFonts w:ascii="Times New Roman" w:hAnsi="Times New Roman"/><w:sz w:val="24"/><w:szCs w:val="24"/><w:lang w:val="es-ES"/></w:rPr></w:r></w:p><w:p><w:pPr><w:pStyle w:val="style1"/><w:spacing w:after="0" w:before="0" w:line="360" w:lineRule="auto"/><w:jc w:val="center"/></w:pPr><w:bookmarkStart w:id="163" w:name="__RefHeading__24308_1557213427"/><w:bookmarkStart w:id="164" w:name="_Toc323928058"/><w:bookmarkStart w:id="165" w:name="_Toc323927338"/><w:bookmarkStart w:id="166" w:name="_Toc323927120"/><w:bookmarkStart w:id="167" w:name="_Toc323926902"/><w:bookmarkStart w:id="168" w:name="_Toc432365760"/><w:bookmarkEnd w:id="163"/><w:bookmarkEnd w:id="164"/><w:bookmarkEnd w:id="165"/><w:bookmarkEnd w:id="166"/><w:bookmarkEnd w:id="167"/><w:bookmarkEnd w:id="168"/><w:r><w:rPr><w:rFonts w:ascii="Times New Roman" w:hAnsi="Times New Roman"/><w:sz w:val="24"/><w:szCs w:val="24"/><w:lang w:val="es-ES"/></w:rPr><w:t>CAPÍTULO IV</w:t></w:r></w:p><w:p><w:pPr><w:pStyle w:val="style1"/><w:spacing w:after="720" w:before="0" w:line="360" w:lineRule="auto"/><w:jc w:val="center"/></w:pPr><w:bookmarkStart w:id="169" w:name="__RefHeading__24310_1557213427"/><w:bookmarkStart w:id="170" w:name="_Toc432365761"/><w:bookmarkEnd w:id="169"/><w:bookmarkEnd w:id="170"/><w:r><w:rPr><w:rFonts w:ascii="Times New Roman" w:hAnsi="Times New Roman"/><w:sz w:val="24"/><w:lang w:val="es-ES"/></w:rPr><w:t>ANÁLISIS E INTERPRETACIÓN DE LOS RESULTADOS</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En este apartado se desarrollará cada uno de los objetivos, los cuales vienen estructurados de forma que alimenten la información para la propuesta final de la planificación financiera.</w:t></w:r></w:p><w:p><w:pPr><w:pStyle w:val="style0"/><w:spacing w:after="720" w:before="0" w:line="360" w:lineRule="auto"/><w:jc w:val="both"/></w:pPr><w:r><w:rPr><w:rFonts w:ascii="Times New Roman" w:hAnsi="Times New Roman"/><w:b/><w:sz w:val="24"/><w:szCs w:val="24"/><w:lang w:val="es-ES"/></w:rPr><w:t xml:space="preserve">     </w:t></w:r><w:r><w:rPr><w:rFonts w:ascii="Times New Roman" w:hAnsi="Times New Roman"/><w:b/><w:sz w:val="24"/><w:szCs w:val="24"/><w:lang w:val="es-ES"/></w:rPr><w:t>Salud financiera del Frigorífico Industrial Carabobo (FRINCA) a través del análisis de sus estados financieros.</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El presente objetivo tiene como finalidad describir el comportamiento de cada uno de los indicadores financieros, tomando como base los estados financieros históricos de la empresa, con el fin de determinar la salud de la misma. Los estados financieros brindan una herramienta de referencia sobre el avance de la empresa en cuanto a inversiones, financiamientos y gastos que ésta puede tener, y así evaluar el éxito o fracaso en el transcurso del tiempo. Sin embargo, la presentación per se de los estados financieros no brindan contenido claro a la hora de evaluar para la toma de decisiones, es por ello, que el análisis detallado resultante del cálculo de los diferentes indicadores financieros, permiten un escenario claro de la situación de la organización para aquellas partidas de mayor interés por parte de la alta gerencia. La información contable de las partidas esta en detalle en el apartado de anexos de esta misiva.  </w:t></w:r></w:p><w:p><w:pPr><w:pStyle w:val="style0"/><w:spacing w:after="0" w:before="0" w:line="360" w:lineRule="auto"/><w:jc w:val="both"/></w:pPr><w:r><w:rPr><w:rFonts w:ascii="Times New Roman" w:hAnsi="Times New Roman"/><w:b/><w:sz w:val="24"/><w:szCs w:val="24"/><w:lang w:val="es-ES"/></w:rPr><w:t>Razones de Liquidez</w:t></w:r></w:p><w:p><w:pPr><w:pStyle w:val="style0"/><w:spacing w:after="0" w:before="0" w:line="360" w:lineRule="auto"/><w:jc w:val="both"/></w:pPr><w:r><w:rPr><w:rFonts w:ascii="Times New Roman" w:hAnsi="Times New Roman"/><w:b/><w:sz w:val="24"/><w:szCs w:val="24"/><w:lang w:val="es-ES"/></w:rPr></w:r></w:p><w:p><w:pPr><w:pStyle w:val="style0"/><w:numPr><w:ilvl w:val="0"/><w:numId w:val="8"/></w:numPr><w:spacing w:after="720" w:before="0" w:line="100" w:lineRule="atLeast"/><w:ind w:hanging="0" w:left="0" w:right="0"/><w:jc w:val="both"/></w:pPr><w:r><w:rPr><w:rFonts w:ascii="Times New Roman" w:hAnsi="Times New Roman"/><w:sz w:val="24"/><w:szCs w:val="24"/><w:lang w:val="es-ES"/></w:rPr><w:t>Capital de Trabajo</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El capital de trabajo que se visualiza en el Grafico 1 con información proveniente del Balance General al 31-12-2008 tiene una tendencia positiva, lo que significa que las decisiones a corto plazo de inversión en recursos circulantes resultaron efectivas para la operatividad de la empresa. La variabilidad de este indicador es notablemente bajo por lo que indica estabilidad en el año para cubrir las actividades de la empresa.</w:t></w:r></w:p><w:p><w:pPr><w:pStyle w:val="style0"/><w:spacing w:after="72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52"/><w:spacing w:after="200" w:before="0"/><w:jc w:val="center"/></w:pPr><w:bookmarkStart w:id="171" w:name="_Toc432364906"/><w:r><w:rPr><w:rFonts w:ascii="Times New Roman" w:hAnsi="Times New Roman"/><w:b/><w:i w:val="false"/><w:color w:val="00000A"/><w:sz w:val="24"/></w:rPr><w:t>GRÁFICO .</w:t></w:r><w:bookmarkEnd w:id="171"/><w:r><w:rPr><w:rFonts w:ascii="Times New Roman" w:hAnsi="Times New Roman"/><w:i w:val="false"/><w:color w:val="00000A"/><w:sz w:val="24"/></w:rPr><w:t xml:space="preserve"> Capital de  Trabajo 2008</w:t></w:r></w:p><w:p><w:pPr><w:pStyle w:val="style0"/><w:spacing w:after="0" w:before="0" w:line="360" w:lineRule="auto"/><w:jc w:val="both"/></w:pPr><w:r><w:rPr><w:rFonts w:ascii="Times New Roman" w:hAnsi="Times New Roman"/><w:sz w:val="24"/><w:szCs w:val="24"/><w:lang w:val="es-ES"/></w:rPr></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Para el año 2009 el capital de trabajo se mantuvo en un promedio en Bs. 2.791.974,51, de acuerdo a información proveniente del Balance General al 31-12-2009 lo que indica que la empresa posee efectivo tras honrar sus deudas a corto plazo (ver Gráfico 2). Al igual que el año anterior, mantiene baja variabilidad, 15,75%, en el indicador lo que supone un año estable para la empresa. </w:t></w:r></w:p><w:p><w:pPr><w:pStyle w:val="style0"/><w:spacing w:after="720" w:before="0" w:line="360" w:lineRule="auto"/><w:jc w:val="both"/></w:pPr><w:r><w:rPr><w:rFonts w:ascii="Times New Roman" w:hAnsi="Times New Roman"/><w:sz w:val="24"/><w:szCs w:val="24"/><w:lang w:val="es-ES"/></w:rPr></w:r></w:p><w:p><w:pPr><w:pStyle w:val="style0"/><w:spacing w:after="0" w:before="0" w:line="360" w:lineRule="auto"/><w:jc w:val="center"/></w:pPr><w:r><w:rPr><w:rFonts w:ascii="Times New Roman" w:hAnsi="Times New Roman"/><w:b/><w:sz w:val="24"/><w:szCs w:val="24"/><w:lang w:val="es-ES"/></w:rPr></w:r></w:p><w:p><w:pPr><w:pStyle w:val="style52"/><w:spacing w:after="200" w:before="0"/><w:jc w:val="center"/></w:pPr><w:bookmarkStart w:id="172" w:name="_Toc432364907"/><w:r><w:rPr><w:rFonts w:ascii="Times New Roman" w:hAnsi="Times New Roman"/><w:b/><w:i w:val="false"/><w:color w:val="00000A"/><w:sz w:val="24"/></w:rPr><w:t xml:space="preserve">GRÁFICO . </w:t></w:r><w:bookmarkEnd w:id="172"/><w:r><w:rPr><w:rFonts w:ascii="Times New Roman" w:hAnsi="Times New Roman"/><w:i w:val="false"/><w:color w:val="00000A"/><w:sz w:val="24"/></w:rPr><w:t>Capital de Trabajo 2009</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Caso contrario ocurre en el año 2010, en el que se puede observar en el Grafico 3 la tendencia a decrecer el capital de trabajo. El promedio en el capital de trabajo es de Bs. 808.438,90, y alcanzando una variabilidad mayor respecto al año anterior de 35,62%. Esto significa que la empresa cada vez cuenta con menos efectivo luego de honrar sus deudas a corto plazo, por lo que la operatividad de la misma resulta comprometida, esto basada en la información proveniente del Balance General al 31-12-2010. Esto se avala a través del indicador Rendimiento sobre el Capital de Trabajo descrito más adelante.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52"/><w:spacing w:after="200" w:before="0"/><w:jc w:val="center"/></w:pPr><w:bookmarkStart w:id="173" w:name="_Toc432364908"/><w:r><w:rPr><w:rFonts w:ascii="Times New Roman" w:hAnsi="Times New Roman"/><w:b/><w:i w:val="false"/><w:color w:val="00000A"/><w:sz w:val="24"/></w:rPr><w:t xml:space="preserve">GRÁFICO . </w:t></w:r><w:bookmarkEnd w:id="173"/><w:r><w:rPr><w:rFonts w:ascii="Times New Roman" w:hAnsi="Times New Roman"/><w:i w:val="false"/><w:color w:val="00000A"/><w:sz w:val="24"/></w:rPr><w:t>Capital de Trabajo 2010</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720" w:before="0" w:line="100" w:lineRule="atLeast"/><w:jc w:val="both"/></w:pPr><w:r><w:rPr><w:rFonts w:ascii="Times New Roman" w:hAnsi="Times New Roman"/><w:sz w:val="24"/><w:szCs w:val="24"/></w:rPr><w:t>Fuente: Bello, V. (2015)</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Para el año 2011, el capital de trabajo conseguido resultó negativo a lo largo del año, en base a </w:t></w:r><w:r><w:rPr><w:rFonts w:ascii="Times New Roman" w:hAnsi="Times New Roman"/><w:sz w:val="24"/><w:szCs w:val="24"/><w:lang w:val="es-ES"/></w:rPr><w:t>información proveniente del Balance General al 31-12-2011</w:t></w:r><w:r><w:rPr><w:rFonts w:ascii="Times New Roman" w:hAnsi="Times New Roman"/><w:sz w:val="24"/><w:szCs w:val="24"/></w:rPr><w:t>. Esto significa que la empresa no contó con efectivo para la operatividad de la empresa, dado el nivel de pasivos corrientes obtenidos (ver Gráfico 4). Sin embargo, la empresa dirigió esfuerzos para el aumento progresivo capital de trabajo tal y como se observa gráficamente, alcanzando una variabilidad de 44%.</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pPr><w:r><w:rPr><w:rFonts w:ascii="Times New Roman" w:hAnsi="Times New Roman"/><w:b/><w:sz w:val="24"/><w:szCs w:val="24"/><w:lang w:val="es-ES"/></w:rPr></w:r></w:p><w:p><w:pPr><w:pStyle w:val="style0"/><w:spacing w:after="0" w:before="0" w:line="360" w:lineRule="auto"/></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52"/><w:spacing w:after="200" w:before="0"/><w:jc w:val="center"/></w:pPr><w:bookmarkStart w:id="174" w:name="_Toc432364909"/><w:r><w:rPr><w:rFonts w:ascii="Times New Roman" w:hAnsi="Times New Roman"/><w:b/><w:i w:val="false"/><w:color w:val="00000A"/><w:sz w:val="24"/></w:rPr><w:t xml:space="preserve">GRÁFICO . </w:t></w:r><w:bookmarkEnd w:id="174"/><w:r><w:rPr><w:rFonts w:ascii="Times New Roman" w:hAnsi="Times New Roman"/><w:i w:val="false"/><w:color w:val="00000A"/><w:sz w:val="24"/></w:rPr><w:t>Capital de Trabajo 2011</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720" w:before="0" w:line="100" w:lineRule="atLeast"/><w:jc w:val="both"/></w:pPr><w:r><w:rPr><w:rFonts w:ascii="Times New Roman" w:hAnsi="Times New Roman"/><w:sz w:val="24"/><w:szCs w:val="24"/></w:rPr><w:t>Fuente: Bello, V. (2015)</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Si bien es cierto, que la tendencia en el año 2012 es decreciente, se visualiza la recuperación del capital de trabajo para los meses de Marzo a Julio, de acuerdo a información proveniente del Balance General al 31-12-2012 por lo que la empresa manejo efectivo para las operaciones de la empresa (ver Gráfico 5), honrando asimismo sus pasivos a corto plazo. Sin embargo, a partir del mes de Agosto hasta Diciembre, no logró el mismo resultado de meses anteriores, alcanzando una variabilidad superior al 100% en el indicador. </w:t></w:r></w:p><w:p><w:pPr><w:pStyle w:val="style0"/><w:spacing w:after="720" w:before="0" w:line="360" w:lineRule="auto"/><w:jc w:val="both"/></w:pPr><w:r><w:rPr><w:rFonts w:ascii="Times New Roman" w:hAnsi="Times New Roman"/><w:sz w:val="24"/><w:szCs w:val="24"/><w:lang w:val="es-ES"/></w:rPr></w:r></w:p><w:p><w:pPr><w:pStyle w:val="style0"/><w:spacing w:after="720" w:before="0" w:line="360" w:lineRule="auto"/><w:jc w:val="both"/></w:pPr><w:r><w:rPr><w:rFonts w:ascii="Times New Roman" w:hAnsi="Times New Roman"/><w:sz w:val="24"/><w:szCs w:val="24"/><w:lang w:val="es-ES"/></w:rPr></w:r></w:p><w:p><w:pPr><w:pStyle w:val="style52"/><w:jc w:val="center"/></w:pPr><w:bookmarkStart w:id="175" w:name="_Toc432364910"/><w:r><w:rPr><w:rFonts w:ascii="Times New Roman" w:hAnsi="Times New Roman"/><w:b/><w:i w:val="false"/><w:color w:val="00000A"/><w:sz w:val="24"/></w:rPr><w:t xml:space="preserve">GRÁFICO . </w:t></w:r><w:bookmarkEnd w:id="175"/><w:r><w:rPr><w:rFonts w:ascii="Times New Roman" w:hAnsi="Times New Roman"/><w:i w:val="false"/><w:color w:val="00000A"/><w:sz w:val="24"/></w:rPr><w:t>Capital de Trabajo 2012</w:t></w:r></w:p><w:p><w:pPr><w:pStyle w:val="style52"/><w:jc w:val="center"/></w:pPr><w:r><w:rPr><w:rFonts w:ascii="Times New Roman" w:hAnsi="Times New Roman"/><w:b/><w:i w:val="false"/><w:color w:val="00000A"/><w:sz w:val="24"/></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Similar al año 2012, pero con una línea de tendencia decreciente, se observa para el año 2013 un capital de trabajo negativo (ver Gráfico 6), en función a la información proveniente del Balance General al 31-12-2013, lo que indica que los pasivos corrientes del año superaron la liquidez de la empresa en el mismo periodo. Situación indicativa de que la empresa no mantiene un plan financiero de recuperación de cuentas liquidas que le permitan a la empresa cubrir sus gastos a corto plazo y operar con normalidad.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center"/></w:pPr><w:r><w:rPr><w:rFonts w:ascii="Times New Roman" w:hAnsi="Times New Roman"/><w:b/><w:sz w:val="24"/><w:szCs w:val="24"/><w:lang w:val="es-ES"/></w:rPr></w:r></w:p><w:p><w:pPr><w:pStyle w:val="style52"/><w:jc w:val="center"/></w:pPr><w:bookmarkStart w:id="176" w:name="_Toc432364911"/><w:r><w:rPr><w:rFonts w:ascii="Times New Roman" w:hAnsi="Times New Roman"/><w:b/><w:i w:val="false"/><w:color w:val="00000A"/><w:sz w:val="24"/></w:rPr><w:t xml:space="preserve">GRÁFICO . </w:t></w:r><w:bookmarkEnd w:id="176"/><w:r><w:rPr><w:rFonts w:ascii="Times New Roman" w:hAnsi="Times New Roman"/><w:i w:val="false"/><w:color w:val="00000A"/><w:sz w:val="24"/></w:rPr><w:t>Capital de Trabajo 2013</w:t></w:r></w:p><w:p><w:pPr><w:pStyle w:val="style52"/><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Finalmente, para el año 2014 la tendencia no es reversible, por lo que la falla en la planificación o ausencia de la misma, no está permitiéndole a la empresa, cubrir sus obligaciones a corto plazo y operar en sus actividades con normalidad, tal y como se observa en el Grafico 7, con información proveniente del Balance General al 31-12-2014.</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77" w:name="_Toc432364912"/><w:r><w:rPr><w:rFonts w:ascii="Times New Roman" w:hAnsi="Times New Roman"/><w:b/><w:i w:val="false"/><w:color w:val="00000A"/><w:sz w:val="24"/></w:rPr><w:t xml:space="preserve">GRÁFICO . </w:t></w:r><w:bookmarkEnd w:id="177"/><w:r><w:rPr><w:rFonts w:ascii="Times New Roman" w:hAnsi="Times New Roman"/><w:i w:val="false"/><w:color w:val="00000A"/><w:sz w:val="24"/></w:rPr><w:t>Capital de Trabajo 2014</w:t></w:r></w:p><w:p><w:pPr><w:pStyle w:val="style52"/><w:jc w:val="center"/></w:pPr><w:r><w:rPr><w:rFonts w:ascii="Times New Roman" w:hAnsi="Times New Roman"/><w:b/><w:i w:val="false"/><w:iCs w:val="false"/><w:color w:val="00000A"/><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720" w:before="0" w:line="100" w:lineRule="atLeast"/><w:jc w:val="both"/></w:pPr><w:r><w:rPr><w:rFonts w:ascii="Times New Roman" w:hAnsi="Times New Roman"/><w:sz w:val="24"/><w:szCs w:val="24"/></w:rPr><w:t>Fuente: Bello, V. (2015)</w:t></w:r></w:p><w:p><w:pPr><w:pStyle w:val="style0"/><w:numPr><w:ilvl w:val="0"/><w:numId w:val="8"/></w:numPr><w:spacing w:after="720" w:before="0" w:line="100" w:lineRule="atLeast"/><w:ind w:hanging="0" w:left="0" w:right="0"/><w:jc w:val="both"/></w:pPr><w:r><w:rPr><w:rFonts w:ascii="Times New Roman" w:hAnsi="Times New Roman"/><w:sz w:val="24"/><w:szCs w:val="24"/><w:lang w:val="es-ES"/></w:rPr><w:t>Razón Circulante</w:t></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Este indicador nos refiere la capacidad de la empresa para afrontar sus deudas a corto plazo. Para el año 2008, se puede visualizar que en promedio la empresa cuenta con Bs. 2,76 por cada Bs. de pasivo circulante (deuda a corto plazo), tal y como se muestra en el siguiente gráfico construido con información proveniente del Balance General al 31-12-2008.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78" w:name="_Toc432364913"/><w:r><w:rPr><w:rFonts w:ascii="Times New Roman" w:hAnsi="Times New Roman"/><w:b/><w:i w:val="false"/><w:color w:val="00000A"/><w:sz w:val="24"/></w:rPr><w:t xml:space="preserve">GRÁFICO . </w:t></w:r><w:bookmarkEnd w:id="178"/><w:r><w:rPr><w:rFonts w:ascii="Times New Roman" w:hAnsi="Times New Roman"/><w:i w:val="false"/><w:color w:val="00000A"/><w:sz w:val="24"/></w:rPr><w:t>Razón Circulante 2008</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720" w:before="0" w:line="100" w:lineRule="atLeast"/><w:jc w:val="both"/></w:pPr><w:r><w:rPr><w:rFonts w:ascii="Times New Roman" w:hAnsi="Times New Roman"/><w:sz w:val="24"/><w:szCs w:val="24"/></w:rPr><w:t>Fuente: Bello, V. (2015)</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En el año 2009 la situación para este indicador mejora, ya que en promedio la empresa tiene Bs. 4,92 por cada Bs de pasivo a corto plazo, en otras palabras, el activo corriente es 4,92 veces más grande que el pasivo corriente (ver Gráfico 9), de acuerdo a </w:t></w:r><w:r><w:rPr><w:rFonts w:ascii="Times New Roman" w:hAnsi="Times New Roman"/><w:sz w:val="24"/><w:szCs w:val="24"/><w:lang w:val="es-ES"/></w:rPr><w:t>información proveniente del Balance General al 31-12-2009</w:t></w:r><w:r><w:rPr><w:rFonts w:ascii="Times New Roman" w:hAnsi="Times New Roman"/><w:sz w:val="24"/><w:szCs w:val="24"/></w:rPr><w:t xml:space="preserve">. En consecuencia la empresa, puede afrontar sus deudas con mayor holgura en el año señalado. </w:t></w:r></w:p><w:p><w:pPr><w:pStyle w:val="style0"/><w:spacing w:after="720" w:before="0" w:line="360" w:lineRule="auto"/><w:jc w:val="both"/></w:pPr><w:r><w:rPr><w:rFonts w:ascii="Times New Roman" w:hAnsi="Times New Roman"/><w:sz w:val="24"/><w:szCs w:val="24"/></w:rPr></w:r></w:p><w:p><w:pPr><w:pStyle w:val="style0"/><w:spacing w:after="720" w:before="0" w:line="360" w:lineRule="auto"/><w:jc w:val="both"/></w:pPr><w:r><w:rPr><w:rFonts w:ascii="Times New Roman" w:hAnsi="Times New Roman"/><w:sz w:val="24"/><w:szCs w:val="24"/></w:rPr></w:r></w:p><w:p><w:pPr><w:pStyle w:val="style0"/><w:spacing w:after="0" w:before="0" w:line="360" w:lineRule="auto"/></w:pPr><w:r><w:rPr><w:rFonts w:ascii="Times New Roman" w:hAnsi="Times New Roman"/><w:sz w:val="24"/><w:szCs w:val="24"/></w:rPr></w:r></w:p><w:p><w:pPr><w:pStyle w:val="style0"/><w:spacing w:after="0" w:before="0" w:line="360" w:lineRule="auto"/></w:pPr><w:r><w:rPr><w:rFonts w:ascii="Times New Roman" w:hAnsi="Times New Roman"/><w:sz w:val="24"/><w:szCs w:val="24"/></w:rPr></w:r></w:p><w:p><w:pPr><w:pStyle w:val="style52"/><w:jc w:val="center"/></w:pPr><w:bookmarkStart w:id="179" w:name="_Toc432364914"/><w:r><w:rPr><w:rFonts w:ascii="Times New Roman" w:hAnsi="Times New Roman"/><w:b/><w:i w:val="false"/><w:color w:val="00000A"/><w:sz w:val="24"/></w:rPr><w:t xml:space="preserve">GRÁFICO . </w:t></w:r><w:bookmarkEnd w:id="179"/><w:r><w:rPr><w:rFonts w:ascii="Times New Roman" w:hAnsi="Times New Roman"/><w:i w:val="false"/><w:color w:val="00000A"/><w:sz w:val="24"/></w:rPr><w:t>Razón Circulante 2009</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center"/></w:pPr><w:r><w:rPr><w:rFonts w:ascii="Times New Roman" w:hAnsi="Times New Roman"/><w:sz w:val="24"/><w:szCs w:val="24"/><w:lang w:val="es-ES"/></w:rPr></w:r></w:p><w:p><w:pPr><w:pStyle w:val="style0"/><w:spacing w:after="0" w:before="0" w:line="360" w:lineRule="auto"/><w:jc w:val="center"/></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En el año 2010, tal y como se venía reportando en el indicador anterior, la empresa cuenta en promedio con Bs. 1,47 por cada Bs. de pasivo circulante, es decir que a paso del tiempo, la empresa cuenta con menos liquidez frente a sus pasivos a corto plazo (ver Gráfico 10), basado en información proveniente del Balance General al 31-12-2010. En comparación con los dos años anteriores la variabilidad se incrementa ubicándose en 40,17%.</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80" w:name="_Toc432364915"/><w:r><w:rPr><w:rFonts w:ascii="Times New Roman" w:hAnsi="Times New Roman"/><w:b/><w:i w:val="false"/><w:color w:val="00000A"/><w:sz w:val="24"/></w:rPr><w:t xml:space="preserve">GRÁFICO . </w:t></w:r><w:bookmarkEnd w:id="180"/><w:r><w:rPr><w:rFonts w:ascii="Times New Roman" w:hAnsi="Times New Roman"/><w:i w:val="false"/><w:color w:val="00000A"/><w:sz w:val="24"/></w:rPr><w:t>Razón Circulante 2010</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Respecto al año 2011, la razón circulante se mantiene en promedio en 0,84, siendo menor al año anterior, con una línea tendencial ligeramente hacia la alza (ver Gráfico 11), basado en información proveniente del Balance General al 31-12-2011. Sin embargo, para que la empresa cuente con la liquidez suficiente para honrar sus pasivos a corto plazo, es decir que la razón del activo circulante supere en veces al pasivo circulante, se espera que ésta se encuentre entre 1,5 y 2.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81" w:name="_Toc432364916"/><w:r><w:rPr><w:rFonts w:ascii="Times New Roman" w:hAnsi="Times New Roman"/><w:b/><w:i w:val="false"/><w:color w:val="00000A"/><w:sz w:val="24"/></w:rPr><w:t xml:space="preserve">GRÁFICO . </w:t></w:r><w:bookmarkEnd w:id="181"/><w:r><w:rPr><w:rFonts w:ascii="Times New Roman" w:hAnsi="Times New Roman"/><w:i w:val="false"/><w:color w:val="00000A"/><w:sz w:val="24"/></w:rPr><w:t>Razón Circulante 2011</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Para el año 2012 el promedio de la razón circulante aumento con respecto al año anterior, ubicándose en 0,99, es decir el activo circulante es casi 1 vez al pasivo circulante, lo que indica que por cada Bs. de pasivo circulante hay Bs. 0,99 de activo circulante, es decir la empresa afronta sus deudas sin holgura (ver Gráfico 12), según información proveniente del Balance General al 31-12-2012.</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82" w:name="_Toc432364917"/><w:r><w:rPr><w:rFonts w:ascii="Times New Roman" w:hAnsi="Times New Roman"/><w:b/><w:i w:val="false"/><w:color w:val="00000A"/><w:sz w:val="24"/></w:rPr><w:t xml:space="preserve">GRÁFICO . </w:t></w:r><w:bookmarkEnd w:id="182"/><w:r><w:rPr><w:rFonts w:ascii="Times New Roman" w:hAnsi="Times New Roman"/><w:i w:val="false"/><w:color w:val="00000A"/><w:sz w:val="24"/></w:rPr><w:t>Razón Circulante 2012</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En el año 2013, la razón volvió a bajar ubicándose en promedio en 0,78, por lo que la empresa no cuenta con la liquidez suficiente para honrar sus deudas a corto plazo (ver Gráfico 13). Esto explicado, por el aumento sucesivo en los pasivos corrientes contra una caída en los activos corrientes, que no permite a la empresa generación de la liquidez necesaria para la operatividad de la empresa, de acuerdo a información proveniente del Balance General al 31-12-2013.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83" w:name="_Toc432364918"/><w:r><w:rPr><w:rFonts w:ascii="Times New Roman" w:hAnsi="Times New Roman"/><w:b/><w:i w:val="false"/><w:color w:val="00000A"/><w:sz w:val="24"/></w:rPr><w:t xml:space="preserve">GRÁFICO . </w:t></w:r><w:bookmarkEnd w:id="183"/><w:r><w:rPr><w:rFonts w:ascii="Times New Roman" w:hAnsi="Times New Roman"/><w:i w:val="false"/><w:color w:val="00000A"/><w:sz w:val="24"/></w:rPr><w:t>Razón Circulante 2013</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Finalmente, según el Gráfico 14, la situación en el año 2014 la relación activo circulante (AC) y pasivo circulante (PC) demuestra una caída en su valor, siendo en promedio el AC 0,54 veces el PC, por lo que la empresa continua incurriendo en un incremento sucesivo de los costos a corto plazo sin la generación suficiente de liquidez para cubrir dichos costos, de acuerdo a información proveniente del Balance General al 31-12-2014.</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84" w:name="_Toc432364919"/><w:r><w:rPr><w:rFonts w:ascii="Times New Roman" w:hAnsi="Times New Roman"/><w:b/><w:i w:val="false"/><w:color w:val="00000A"/><w:sz w:val="24"/></w:rPr><w:t xml:space="preserve">GRÁFICO . </w:t></w:r><w:bookmarkEnd w:id="184"/><w:r><w:rPr><w:rFonts w:ascii="Times New Roman" w:hAnsi="Times New Roman"/><w:i w:val="false"/><w:color w:val="00000A"/><w:sz w:val="24"/></w:rPr><w:t>Razón Circulante 2014</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720" w:before="0" w:line="100" w:lineRule="atLeast"/><w:jc w:val="both"/></w:pPr><w:r><w:rPr><w:rFonts w:ascii="Times New Roman" w:hAnsi="Times New Roman"/><w:sz w:val="24"/><w:szCs w:val="24"/></w:rPr><w:t>Fuente: Bello, V. (2015)</w:t></w:r></w:p><w:p><w:pPr><w:pStyle w:val="style0"/><w:numPr><w:ilvl w:val="0"/><w:numId w:val="8"/></w:numPr><w:spacing w:after="720" w:before="0" w:line="100" w:lineRule="atLeast"/><w:ind w:hanging="0" w:left="0" w:right="0"/><w:jc w:val="both"/></w:pPr><w:r><w:rPr><w:rFonts w:ascii="Times New Roman" w:hAnsi="Times New Roman"/><w:sz w:val="24"/><w:szCs w:val="24"/><w:lang w:val="es-ES"/></w:rPr><w:t>Prueba Súper Ácida (PSA)</w:t></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Esta prueba guarda relación con el indicador anterior, debido a que sugiere cuantas unidades monetarias posee la empresa por cada unidad de pasivo corriente, a diferencia de que se toma solo el activo corriente disponible, es decir  los activos más líquidos expresados en el estado financiero. En este caso, para el año 2008 el indicador arroja el valor promedio de 2,59, lo que significa que por cada Bs. de pasivo corriente se tiene Bs. 2,59 de activos líquidos para su pago (Grafico 15) según información proveniente del Balance General al 31-12-2008. Este indicador presenta similares características de la Razón Circulante, por lo que se concluye que para el año referido, la empresa era capaz de afrontar sus obligaciones a corto plazo.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85" w:name="_Toc432364920"/><w:r><w:rPr><w:rFonts w:ascii="Times New Roman" w:hAnsi="Times New Roman"/><w:b/><w:i w:val="false"/><w:color w:val="00000A"/><w:sz w:val="24"/></w:rPr><w:t xml:space="preserve">GRÁFICO . </w:t></w:r><w:bookmarkEnd w:id="185"/><w:r><w:rPr><w:rFonts w:ascii="Times New Roman" w:hAnsi="Times New Roman"/><w:i w:val="false"/><w:color w:val="00000A"/><w:sz w:val="24"/></w:rPr><w:t>Prueba Súper Ácida 2008</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Para el año 2009 (ver Gráfico 16), la referencia a esta prueba indica relación con la razón circulante, en promedio 4,24 es la cantidad de veces de activos líquidos disponibles por cada vez que representa el pasivo circulante, lo que supone que en el año señalado la empresa solo con sus activos líquidos puede hacer frente a la deuda a corto plazo, de acuerdo a información proveniente del Balance General al 31-12-2009.</w:t></w:r></w:p><w:p><w:pPr><w:pStyle w:val="style0"/><w:spacing w:after="0" w:before="0" w:line="360" w:lineRule="auto"/><w:jc w:val="center"/></w:pPr><w:r><w:rPr><w:rFonts w:ascii="Times New Roman" w:hAnsi="Times New Roman"/><w:sz w:val="24"/><w:szCs w:val="24"/><w:lang w:val="es-ES"/></w:rPr></w:r></w:p><w:p><w:pPr><w:pStyle w:val="style0"/><w:spacing w:after="0" w:before="0" w:line="360" w:lineRule="auto"/><w:jc w:val="center"/></w:pPr><w:r><w:rPr><w:rFonts w:ascii="Times New Roman" w:hAnsi="Times New Roman"/><w:sz w:val="24"/><w:szCs w:val="24"/><w:lang w:val="es-ES"/></w:rPr></w:r></w:p><w:p><w:pPr><w:pStyle w:val="style0"/><w:spacing w:after="0" w:before="0" w:line="360" w:lineRule="auto"/><w:jc w:val="center"/></w:pPr><w:r><w:rPr><w:rFonts w:ascii="Times New Roman" w:hAnsi="Times New Roman"/><w:sz w:val="24"/><w:szCs w:val="24"/><w:lang w:val="es-ES"/></w:rPr></w:r></w:p><w:p><w:pPr><w:pStyle w:val="style0"/><w:spacing w:after="0" w:before="0" w:line="360" w:lineRule="auto"/><w:jc w:val="center"/></w:pPr><w:r><w:rPr><w:rFonts w:ascii="Times New Roman" w:hAnsi="Times New Roman"/><w:sz w:val="24"/><w:szCs w:val="24"/><w:lang w:val="es-ES"/></w:rPr></w:r></w:p><w:p><w:pPr><w:pStyle w:val="style0"/><w:spacing w:after="0" w:before="0" w:line="360" w:lineRule="auto"/><w:jc w:val="center"/></w:pPr><w:r><w:rPr><w:rFonts w:ascii="Times New Roman" w:hAnsi="Times New Roman"/><w:sz w:val="24"/><w:szCs w:val="24"/><w:lang w:val="es-ES"/></w:rPr></w:r></w:p><w:p><w:pPr><w:pStyle w:val="style0"/><w:spacing w:after="0" w:before="0" w:line="360" w:lineRule="auto"/><w:jc w:val="center"/></w:pPr><w:r><w:rPr><w:rFonts w:ascii="Times New Roman" w:hAnsi="Times New Roman"/><w:sz w:val="24"/><w:szCs w:val="24"/><w:lang w:val="es-ES"/></w:rPr></w:r></w:p><w:p><w:pPr><w:pStyle w:val="style0"/><w:spacing w:after="0" w:before="0" w:line="360" w:lineRule="auto"/><w:jc w:val="center"/></w:pPr><w:r><w:rPr><w:rFonts w:ascii="Times New Roman" w:hAnsi="Times New Roman"/><w:sz w:val="24"/><w:szCs w:val="24"/><w:lang w:val="es-ES"/></w:rPr></w:r></w:p><w:p><w:pPr><w:pStyle w:val="style0"/><w:spacing w:after="0" w:before="0" w:line="360" w:lineRule="auto"/><w:jc w:val="center"/></w:pPr><w:r><w:rPr><w:rFonts w:ascii="Times New Roman" w:hAnsi="Times New Roman"/><w:sz w:val="24"/><w:szCs w:val="24"/><w:lang w:val="es-ES"/></w:rPr></w:r></w:p><w:p><w:pPr><w:pStyle w:val="style52"/><w:jc w:val="center"/></w:pPr><w:bookmarkStart w:id="186" w:name="_Toc432364921"/><w:r><w:rPr><w:rFonts w:ascii="Times New Roman" w:hAnsi="Times New Roman"/><w:b/><w:i w:val="false"/><w:color w:val="00000A"/><w:sz w:val="24"/></w:rPr><w:t xml:space="preserve">GRÁFICO . </w:t></w:r><w:bookmarkEnd w:id="186"/><w:r><w:rPr><w:rFonts w:ascii="Times New Roman" w:hAnsi="Times New Roman"/><w:i w:val="false"/><w:color w:val="00000A"/><w:sz w:val="24"/></w:rPr><w:t>Prueba Súper Ácida 2009</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En el año 2010 al igual que la Razón Circulante, esta prueba comienza a presentar resultados menos favorecidos con respecto a años anteriores (ver Gráfico 17), construido en base a información proveniente del Balance General al 31-12-2010. En promedio, la empresa por cada Bs. de Pasivo Circulante tiene Bs. 1,27 de efectivo (cuenta liquida) para afrontar dicha deuda a corto plazo. Aumentando la variabilidad en el indicador, por lo que el promedio se ve afectado por valores muy alejados a ella, lo que indica poca estabilidad.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87" w:name="_Toc432364922"/><w:r><w:rPr><w:rFonts w:ascii="Times New Roman" w:hAnsi="Times New Roman"/><w:b/><w:i w:val="false"/><w:color w:val="00000A"/><w:sz w:val="24"/></w:rPr><w:t xml:space="preserve">GRÁFICO . </w:t></w:r><w:bookmarkEnd w:id="187"/><w:r><w:rPr><w:rFonts w:ascii="Times New Roman" w:hAnsi="Times New Roman"/><w:i w:val="false"/><w:color w:val="00000A"/><w:sz w:val="24"/></w:rPr><w:t>Prueba Súper Ácida 2010</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En el Grafico 18, se puede visualizar que para el año 2011 la prueba indica que en promedio, por cada Bs. de Pasivo Circulante la empresa cuenta con Bs. 1,09, en función a información proveniente del Balance General al 31-12-2011, por lo que con respecto al año anterior se tiene cada vez menos unidades monetarias liquidas para cubrir las deudas a corto plazo.</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188" w:name="_Toc432364923"/><w:r><w:rPr><w:rFonts w:ascii="Times New Roman" w:hAnsi="Times New Roman"/><w:b/><w:i w:val="false"/><w:color w:val="00000A"/><w:sz w:val="24"/></w:rPr><w:t xml:space="preserve">GRÁFICO . </w:t></w:r><w:bookmarkEnd w:id="188"/><w:r><w:rPr><w:rFonts w:ascii="Times New Roman" w:hAnsi="Times New Roman"/><w:i w:val="false"/><w:color w:val="00000A"/><w:sz w:val="24"/></w:rPr><w:t>Prueba Súper Ácida 2011</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t xml:space="preserve">     </w:t></w:r><w:r><w:rPr><w:rFonts w:ascii="Times New Roman" w:hAnsi="Times New Roman"/><w:sz w:val="24"/><w:szCs w:val="24"/></w:rPr><w:t xml:space="preserve">Seguidamente, en el año 2012 se observa que en promedio la empresa tiene Bs. 0,62 de activos líquidos por cada Bs. de Pasivos a corto plazo (ver Gráfico 19), lo que es indicativo que al incorporar partidas que pueden ser liquidas al corto plazo como las cuentas por cobrar, y los días por cobrar van aumentando, entonces no se convierte en una partida de fácil transformación, por tanto la empresa cuenta con cada vez menos efectivo para afrontar dichas deudas. Información basada en el Balance General al 31-12-2012. </w:t></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52"/><w:jc w:val="center"/></w:pPr><w:bookmarkStart w:id="189" w:name="_Toc432364924"/><w:r><w:rPr><w:rFonts w:ascii="Times New Roman" w:hAnsi="Times New Roman"/><w:b/><w:i w:val="false"/><w:color w:val="00000A"/><w:sz w:val="24"/></w:rPr><w:t xml:space="preserve">GRÁFICO . </w:t></w:r><w:bookmarkEnd w:id="189"/><w:r><w:rPr><w:rFonts w:ascii="Times New Roman" w:hAnsi="Times New Roman"/><w:i w:val="false"/><w:color w:val="00000A"/><w:sz w:val="24"/></w:rPr><w:t>Prueba Súper Ácida 2012</w:t></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Para el 2013 se verifica lo señalado anteriormente, en promedio los activos disponibles son 0,57 veces el pasivo circulante (ver Gráfico 20), en base a  información proveniente del Balance General al 31-12-2013 y como se verá posteriormente las ventas a crédito se recuperan cada vez con más tiempo desde el momento del servicio de beneficio de bovino y porcino.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190" w:name="_Toc432364925"/><w:r><w:rPr><w:rFonts w:ascii="Times New Roman" w:hAnsi="Times New Roman"/><w:b/><w:i w:val="false"/><w:color w:val="00000A"/><w:sz w:val="24"/></w:rPr><w:t xml:space="preserve">GRÁFICO . </w:t></w:r><w:bookmarkEnd w:id="190"/><w:r><w:rPr><w:rFonts w:ascii="Times New Roman" w:hAnsi="Times New Roman"/><w:i w:val="false"/><w:color w:val="00000A"/><w:sz w:val="24"/></w:rPr><w:t>Prueba Súper Ácida 2013</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Finalmente para el año 2014, según información proveniente del Balance General al 31-12-2014 la situación no tiende a mejorar, la línea de tendencia indica la caída en el promedio de veces que representa los activos disponibles de los pasivos a corto plazo, alcanzando un promedio de 0,51 veces. Sin embargo, esto es explicado por el incremento progresivo de los pasivos corrientes a una tasa de crecimiento de 1,23% contra una tasa de crecimiento del activo disponible en 0,62% (ver Gráfico 21).</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91" w:name="_Toc432364926"/><w:r><w:rPr><w:rFonts w:ascii="Times New Roman" w:hAnsi="Times New Roman"/><w:b/><w:i w:val="false"/><w:color w:val="00000A"/><w:sz w:val="24"/></w:rPr><w:t xml:space="preserve">GRÁFICO . </w:t></w:r><w:bookmarkEnd w:id="191"/><w:r><w:rPr><w:rFonts w:ascii="Times New Roman" w:hAnsi="Times New Roman"/><w:i w:val="false"/><w:color w:val="00000A"/><w:sz w:val="24"/></w:rPr><w:t>Prueba Súper Ácida 2014</w:t></w:r></w:p><w:p><w:pPr><w:pStyle w:val="style52"/><w:jc w:val="center"/></w:pPr><w:r><w:rPr><w:rFonts w:ascii="Times New Roman" w:hAnsi="Times New Roman"/><w:b/><w:sz w:val="24"/><w:szCs w:val="24"/><w:lang w:val="es-ES"/></w:rPr></w:r></w:p><w:p><w:pPr><w:pStyle w:val="style0"/><w:spacing w:after="720" w:before="0" w:line="100" w:lineRule="atLeast"/><w:jc w:val="both"/></w:pPr><w:r><w:rPr><w:rFonts w:ascii="Times New Roman" w:hAnsi="Times New Roman"/><w:sz w:val="24"/><w:szCs w:val="24"/></w:rPr><w:t>Fuente: Bello, V. (2015)</w:t></w:r></w:p><w:p><w:pPr><w:pStyle w:val="style0"/><w:numPr><w:ilvl w:val="0"/><w:numId w:val="8"/></w:numPr><w:spacing w:after="720" w:before="0" w:line="100" w:lineRule="atLeast"/><w:ind w:hanging="0" w:left="0" w:right="0"/><w:jc w:val="both"/></w:pPr><w:r><w:rPr><w:rFonts w:ascii="Times New Roman" w:hAnsi="Times New Roman"/><w:sz w:val="24"/><w:szCs w:val="24"/><w:lang w:val="es-ES"/></w:rPr><w:t>Razón Fondo de Maniobra</w:t></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Este indicador muestra la relación entre el dinero que posee una empresa para operar tras haber honrado sus deudas a corto plazo (Capital de Trabajo) y la inversión bruta total (Activo Total). Para el año 2008, en el Grafico 22, construido en base a información proveniente del Balance General al 31-12-2008, se puede observar que en promedio el capital de trabajo está a razón de 0,44 veces el activo total; sin embargo para la fecha no se posee información del sector cárnico para comparar el grado de liquidez de la empresa, por lo que se puede concluir que mientras más alejado de cero mayor liquidez para la empresa en función de sus activos brutos.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92" w:name="_Toc432364927"/><w:r><w:rPr><w:rFonts w:ascii="Times New Roman" w:hAnsi="Times New Roman"/><w:b/><w:i w:val="false"/><w:color w:val="00000A"/><w:sz w:val="24"/></w:rPr><w:t xml:space="preserve">GRÁFICO . </w:t></w:r><w:bookmarkEnd w:id="192"/><w:r><w:rPr><w:rFonts w:ascii="Times New Roman" w:hAnsi="Times New Roman"/><w:i w:val="false"/><w:color w:val="00000A"/><w:sz w:val="24"/></w:rPr><w:t>Razón de Fondo de Maniobra 2008</w:t></w:r></w:p><w:p><w:pPr><w:pStyle w:val="style0"/><w:spacing w:after="0" w:before="0" w:line="360" w:lineRule="auto"/><w:jc w:val="center"/></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rPr></w:r></w:p><w:p><w:pPr><w:pStyle w:val="style0"/><w:spacing w:after="0" w:before="0" w:line="360" w:lineRule="auto"/><w:jc w:val="both"/></w:pPr><w:r><w:rPr><w:rFonts w:ascii="Times New Roman" w:hAnsi="Times New Roman"/><w:b/><w:sz w:val="24"/><w:szCs w:val="24"/></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Para el año 2009, la razón se incrementa a 0,49, de acuerdo a información proveniente del Balance General al 31-12-2009, en promedio, representando una mejora en la relación de sus activos corrientes luego de honrar sus pasivos a corto, con sus activos totales (ver Gráfico 23). Por lo que la empresa tiene mayor capacidad de operatividad y repuesta ante cualquier eventualidad.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93" w:name="_Toc432364928"/><w:r><w:rPr><w:rFonts w:ascii="Times New Roman" w:hAnsi="Times New Roman"/><w:b/><w:i w:val="false"/><w:color w:val="00000A"/><w:sz w:val="24"/></w:rPr><w:t xml:space="preserve">GRÁFICO . </w:t></w:r><w:bookmarkEnd w:id="193"/><w:r><w:rPr><w:rFonts w:ascii="Times New Roman" w:hAnsi="Times New Roman"/><w:i w:val="false"/><w:color w:val="00000A"/><w:sz w:val="24"/></w:rPr><w:t>Razón de Fondo de Maniobra 2009</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En el Grafico 24 se puede observar que para el año 2010 baja el promedio de la razón de fondo de maniobra a 0,11, en base a información proveniente del Balance General al 31-12-2010, este indicador al estar más cerca de 0 indica que la empresa tiene niveles de liquidez bajo.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194" w:name="_Toc432364929"/><w:r><w:rPr><w:rFonts w:ascii="Times New Roman" w:hAnsi="Times New Roman"/><w:b/><w:i w:val="false"/><w:color w:val="00000A"/><w:sz w:val="24"/></w:rPr><w:t xml:space="preserve">GRÁFICO . </w:t></w:r><w:bookmarkEnd w:id="194"/><w:r><w:rPr><w:rFonts w:ascii="Times New Roman" w:hAnsi="Times New Roman"/><w:i w:val="false"/><w:color w:val="00000A"/><w:sz w:val="24"/></w:rPr><w:t>Razón de Fondo de Maniobra 2010</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center"/></w:pPr><w:r><w:rPr><w:rFonts w:ascii="Times New Roman" w:hAnsi="Times New Roman"/><w:sz w:val="24"/><w:szCs w:val="24"/><w:lang w:val="es-ES"/></w:rPr></w:r></w:p><w:p><w:pPr><w:pStyle w:val="style0"/><w:spacing w:after="0" w:before="0" w:line="360" w:lineRule="auto"/><w:jc w:val="center"/></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Para el 2011 esta razón resulta negativa, como se visualiza en el Grafico 25, según información proveniente del Balance General al 31-12-2011. Esto principalmente causado por tener en el año un capital de trabajo negativo, debido a que los pasivos circulantes superan los activos circulantes, y por ende la empresa no cuenta con efectivo para sus actividades operativas. Esto debidamente explicado en el primer indicador de liquidez.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95" w:name="_Toc432364930"/><w:r><w:rPr><w:rFonts w:ascii="Times New Roman" w:hAnsi="Times New Roman"/><w:b/><w:i w:val="false"/><w:color w:val="00000A"/><w:sz w:val="24"/></w:rPr><w:t xml:space="preserve">GRÁFICO . </w:t></w:r><w:bookmarkEnd w:id="195"/><w:r><w:rPr><w:rFonts w:ascii="Times New Roman" w:hAnsi="Times New Roman"/><w:i w:val="false"/><w:color w:val="00000A"/><w:sz w:val="24"/></w:rPr><w:t>Razón de Fondo de Maniobra 2011</w:t></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t xml:space="preserve">     </w:t></w:r><w:r><w:rPr><w:rFonts w:ascii="Times New Roman" w:hAnsi="Times New Roman"/><w:sz w:val="24"/><w:szCs w:val="24"/></w:rPr><w:t xml:space="preserve">En este año 2012, se evidencia una leve mejora en el promedio de la razón de fondo de maniobra sin embargo no son resultados positivos que permitan a la empresa operar con normalidad (ver Gráfico 26), de acuerdo a </w:t></w:r><w:r><w:rPr><w:rFonts w:ascii="Times New Roman" w:hAnsi="Times New Roman"/><w:sz w:val="24"/><w:szCs w:val="24"/><w:lang w:val="es-ES"/></w:rPr><w:t>información proveniente del Balance General al 31-12-2012</w:t></w:r><w:r><w:rPr><w:rFonts w:ascii="Times New Roman" w:hAnsi="Times New Roman"/><w:sz w:val="24"/><w:szCs w:val="24"/></w:rPr><w:t xml:space="preserve"> debido a que no tiene la liquidez para afrontar sus pasivos, y por tanto deteriora la relación con la inversión bruta de la empresa. </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196" w:name="_Toc432364931"/><w:r><w:rPr><w:rFonts w:ascii="Times New Roman" w:hAnsi="Times New Roman"/><w:b/><w:i w:val="false"/><w:color w:val="00000A"/><w:sz w:val="24"/></w:rPr><w:t xml:space="preserve">GRÁFICO . </w:t></w:r><w:bookmarkEnd w:id="196"/><w:r><w:rPr><w:rFonts w:ascii="Times New Roman" w:hAnsi="Times New Roman"/><w:i w:val="false"/><w:color w:val="00000A"/><w:sz w:val="24"/></w:rPr><w:t>Razón de Fondo de Maniobra 2012</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Para los años 2013 y 2014, la tendencia de este indicador sugiere una caída del mismo, basado en información proveniente del Balance General al 31-12-2013 y al 31-12-2014, respectivamente; por razones netamente resultantes de fallas en el capital de trabajo, debido a que se incurrió en elevados pasivos a corto plazo sin medir la liquidez de la empresa, fallando así en la planificación financiera de la misma (ver Gráficos 27 y 28).</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197" w:name="_Toc432364932"/><w:r><w:rPr><w:rFonts w:ascii="Times New Roman" w:hAnsi="Times New Roman"/><w:b/><w:i w:val="false"/><w:color w:val="00000A"/><w:sz w:val="24"/></w:rPr><w:t xml:space="preserve">GRÁFICO . </w:t></w:r><w:bookmarkEnd w:id="197"/><w:r><w:rPr><w:rFonts w:ascii="Times New Roman" w:hAnsi="Times New Roman"/><w:i w:val="false"/><w:color w:val="00000A"/><w:sz w:val="24"/></w:rPr><w:t>Razón de Fondo de Maniobra 2013</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52"/><w:jc w:val="center"/></w:pPr><w:bookmarkStart w:id="198" w:name="_Toc432364933"/><w:r><w:rPr><w:rFonts w:ascii="Times New Roman" w:hAnsi="Times New Roman"/><w:b/><w:i w:val="false"/><w:color w:val="00000A"/><w:sz w:val="24"/></w:rPr><w:t xml:space="preserve">GRÁFICO . </w:t></w:r><w:bookmarkEnd w:id="198"/><w:r><w:rPr><w:rFonts w:ascii="Times New Roman" w:hAnsi="Times New Roman"/><w:i w:val="false"/><w:color w:val="00000A"/><w:sz w:val="24"/></w:rPr><w:t>Razón de Fondo de Maniobra 2014</w:t></w:r></w:p><w:p><w:pPr><w:pStyle w:val="style0"/><w:spacing w:after="0" w:before="0" w:line="360" w:lineRule="auto"/></w:pPr><w:r><w:rPr><w:rFonts w:ascii="Times New Roman" w:hAnsi="Times New Roman"/><w:sz w:val="24"/><w:szCs w:val="24"/></w:rPr><w:t>Fuente: Bello, V. (2015)</w:t></w:r></w:p><w:p><w:pPr><w:pStyle w:val="style0"/><w:spacing w:after="0" w:before="0" w:line="360" w:lineRule="auto"/></w:pPr><w:r><w:rPr><w:rFonts w:ascii="Times New Roman" w:hAnsi="Times New Roman"/><w:sz w:val="24"/><w:szCs w:val="24"/></w:rPr></w:r></w:p><w:p><w:pPr><w:pStyle w:val="style0"/><w:spacing w:after="720" w:before="0" w:line="100" w:lineRule="atLeast"/><w:jc w:val="both"/></w:pPr><w:r><w:rPr><w:rFonts w:ascii="Times New Roman" w:hAnsi="Times New Roman"/><w:b/><w:sz w:val="24"/><w:szCs w:val="24"/><w:lang w:val="es-ES"/></w:rPr><w:t>Razones de Apalancamiento</w:t></w:r></w:p><w:p><w:pPr><w:pStyle w:val="style0"/><w:numPr><w:ilvl w:val="0"/><w:numId w:val="9"/></w:numPr><w:spacing w:after="720" w:before="0" w:line="100" w:lineRule="atLeast"/><w:ind w:hanging="0" w:left="0" w:right="0"/><w:jc w:val="both"/></w:pPr><w:r><w:rPr><w:rFonts w:ascii="Times New Roman" w:hAnsi="Times New Roman"/><w:sz w:val="24"/><w:szCs w:val="24"/><w:lang w:val="es-ES"/></w:rPr><w:t>Razón de Endeudamiento</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Para el año 2008, de acuerdo a información proveniente del Balance General al 31-12-2008 la empresa ha adquirido, con financiamiento de terceros, en promedio, el 26,05% de su inversión en activos (Grafico 29). Esto es indicativo de que para el año señalado la empresa utilizó el 73,95% de aportes propios para inversión; resultando un nivel bajo de apalancamiento. </w:t></w:r></w:p><w:p><w:pPr><w:pStyle w:val="style52"/><w:jc w:val="center"/></w:pPr><w:bookmarkStart w:id="199" w:name="_Toc432364934"/><w:r><w:rPr><w:rFonts w:ascii="Times New Roman" w:hAnsi="Times New Roman"/><w:b/><w:i w:val="false"/><w:color w:val="00000A"/><w:sz w:val="24"/></w:rPr><w:t xml:space="preserve">GRÁFICO . </w:t></w:r><w:bookmarkEnd w:id="199"/><w:r><w:rPr><w:rFonts w:ascii="Times New Roman" w:hAnsi="Times New Roman"/><w:i w:val="false"/><w:color w:val="00000A"/><w:sz w:val="24"/></w:rPr><w:t>Razón de Endeudamiento 2008</w:t></w:r></w:p><w:p><w:pPr><w:pStyle w:val="style0"/><w:spacing w:after="0" w:before="0" w:line="360" w:lineRule="auto"/></w:pPr><w:r><w:rPr><w:rFonts w:ascii="Times New Roman" w:hAnsi="Times New Roman"/><w:sz w:val="24"/><w:szCs w:val="24"/></w:rPr><w:t>Fuente: Bello, V. (2015)</w:t></w:r></w:p><w:p><w:pPr><w:pStyle w:val="style0"/><w:spacing w:after="0" w:before="0" w:line="360" w:lineRule="auto"/></w:pPr><w:r><w:rPr><w:rFonts w:ascii="Times New Roman" w:hAnsi="Times New Roman"/><w:sz w:val="24"/><w:szCs w:val="24"/></w:rPr></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En el Grafico 30, se observa que para el año 2009 el apalancamiento con terceros es menor, en función a información proveniente del Balance General al 31-12-2009. En promedio el 13,47% de los activos totales fue adquirido con financiamiento de terceros, por lo que el aporte propio para tal fin se incrementa destinando tales recursos a la inversión de activos.</w:t></w:r></w:p><w:p><w:pPr><w:pStyle w:val="style52"/><w:jc w:val="center"/></w:pPr><w:bookmarkStart w:id="200" w:name="_Toc432364935"/><w:r><w:rPr><w:rFonts w:ascii="Times New Roman" w:hAnsi="Times New Roman"/><w:b/><w:i w:val="false"/><w:color w:val="00000A"/><w:sz w:val="24"/></w:rPr><w:t xml:space="preserve">GRÁFICO . </w:t></w:r><w:bookmarkEnd w:id="200"/><w:r><w:rPr><w:rFonts w:ascii="Times New Roman" w:hAnsi="Times New Roman"/><w:i w:val="false"/><w:color w:val="00000A"/><w:sz w:val="24"/></w:rPr><w:t>Razón de Endeudamiento 2009</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rPr></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Para el año 2010, la razón de endeudamiento se incrementó, alcanzado un valor de 38,44% aumentando el apalancamiento de la empresa con terceros (ver Gráfico 31) en base a </w:t></w:r><w:r><w:rPr><w:rFonts w:ascii="Times New Roman" w:hAnsi="Times New Roman"/><w:sz w:val="24"/><w:szCs w:val="24"/><w:lang w:val="es-ES"/></w:rPr><w:t>información proveniente del Balance General al 31-12-2010</w:t></w:r><w:r><w:rPr><w:rFonts w:ascii="Times New Roman" w:hAnsi="Times New Roman"/><w:sz w:val="24"/><w:szCs w:val="24"/></w:rPr><w:t xml:space="preserve">, debido a que se recurre a fondos de financiamiento para la adquisición de activos totales (inversión). </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 xml:space="preserve">Por su parte en el año 2011, se alcanza una razón de 65,12%, resultando una variabilidad inferior al año anterior, lo que indica que los niveles de apalancamiento se incrementan con el tiempo (ver Gráfico 32), de acuerdo a </w:t></w:r><w:r><w:rPr><w:rFonts w:ascii="Times New Roman" w:hAnsi="Times New Roman"/><w:sz w:val="24"/><w:szCs w:val="24"/><w:lang w:val="es-ES"/></w:rPr><w:t>información proveniente del Balance General al 31-12-2011</w:t></w:r><w:r><w:rPr><w:rFonts w:ascii="Times New Roman" w:hAnsi="Times New Roman"/><w:sz w:val="24"/><w:szCs w:val="24"/></w:rPr><w:t>.</w:t></w:r></w:p><w:p><w:pPr><w:pStyle w:val="style52"/><w:jc w:val="center"/></w:pPr><w:bookmarkStart w:id="201" w:name="_Toc432364936"/><w:r><w:rPr><w:rFonts w:ascii="Times New Roman" w:hAnsi="Times New Roman"/><w:b/><w:i w:val="false"/><w:color w:val="00000A"/><w:sz w:val="24"/></w:rPr><w:t xml:space="preserve">GRÁFICO . </w:t></w:r><w:bookmarkEnd w:id="201"/><w:r><w:rPr><w:rFonts w:ascii="Times New Roman" w:hAnsi="Times New Roman"/><w:i w:val="false"/><w:color w:val="00000A"/><w:sz w:val="24"/></w:rPr><w:t>Razón de Endeudamiento 2010</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52"/><w:jc w:val="center"/></w:pPr><w:bookmarkStart w:id="202" w:name="_Toc432364937"/><w:r><w:rPr><w:rFonts w:ascii="Times New Roman" w:hAnsi="Times New Roman"/><w:b/><w:i w:val="false"/><w:color w:val="00000A"/><w:sz w:val="24"/></w:rPr><w:t xml:space="preserve">GRÁFICO . </w:t></w:r><w:bookmarkEnd w:id="202"/><w:r><w:rPr><w:rFonts w:ascii="Times New Roman" w:hAnsi="Times New Roman"/><w:i w:val="false"/><w:color w:val="00000A"/><w:sz w:val="24"/></w:rPr><w:t>Razón de Endeudamiento 2011</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Esta tendencia en el incremento de la razón de endeudamiento se hace cada vez mayor en los años 2012, 2013 y 2014, alcanzando valores de 71,04%, 82,11% y 87,79%, respectivamente. Siendo esto indicativo del nivel de apalancamiento de la empresa en el transcurso del tiempo (ver Gráficos 33, 34 y 35), según información proveniente del Balance General al 31-12-2012, 31-12-2013 y 31-12-2014, comparativamente.</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203" w:name="_Toc432364938"/><w:r><w:rPr><w:rFonts w:ascii="Times New Roman" w:hAnsi="Times New Roman"/><w:b/><w:i w:val="false"/><w:color w:val="00000A"/><w:sz w:val="24"/></w:rPr><w:t xml:space="preserve">GRÁFICO . </w:t></w:r><w:bookmarkEnd w:id="203"/><w:r><w:rPr><w:rFonts w:ascii="Times New Roman" w:hAnsi="Times New Roman"/><w:i w:val="false"/><w:color w:val="00000A"/><w:sz w:val="24"/></w:rPr><w:t>Razón de Endeudamiento 2012</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204" w:name="_Toc432364939"/><w:r><w:rPr><w:rFonts w:ascii="Times New Roman" w:hAnsi="Times New Roman"/><w:b/><w:i w:val="false"/><w:color w:val="00000A"/><w:sz w:val="24"/></w:rPr><w:t xml:space="preserve">GRÁFICO . </w:t></w:r><w:bookmarkEnd w:id="204"/><w:r><w:rPr><w:rFonts w:ascii="Times New Roman" w:hAnsi="Times New Roman"/><w:i w:val="false"/><w:color w:val="00000A"/><w:sz w:val="24"/></w:rPr><w:t>Razón de Endeudamiento 2013</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Al visualizar el año 2014, se pronostica que la tendencia a la inversión en activos se dará a través del financiamiento de terceros en una cuantía cada vez mayor.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05" w:name="_Toc432364940"/><w:r><w:rPr><w:rFonts w:ascii="Times New Roman" w:hAnsi="Times New Roman"/><w:b/><w:i w:val="false"/><w:color w:val="00000A"/><w:sz w:val="24"/></w:rPr><w:t xml:space="preserve">GRÁFICO . </w:t></w:r><w:bookmarkEnd w:id="205"/><w:r><w:rPr><w:rFonts w:ascii="Times New Roman" w:hAnsi="Times New Roman"/><w:i w:val="false"/><w:color w:val="00000A"/><w:sz w:val="24"/></w:rPr><w:t>Razón de Endeudamiento 2014</w:t></w:r></w:p><w:p><w:pPr><w:pStyle w:val="style0"/><w:spacing w:after="0" w:before="0" w:line="360" w:lineRule="auto"/><w:jc w:val="both"/></w:pPr><w:r><w:rPr><w:rFonts w:ascii="Times New Roman" w:hAnsi="Times New Roman"/><w:b/><w:sz w:val="24"/><w:szCs w:val="24"/><w:lang w:val="es-ES"/></w:rPr></w:r></w:p><w:p><w:pPr><w:pStyle w:val="style0"/><w:spacing w:after="720" w:before="0" w:line="360" w:lineRule="auto"/><w:jc w:val="both"/></w:pPr><w:r><w:rPr><w:rFonts w:ascii="Times New Roman" w:hAnsi="Times New Roman"/><w:sz w:val="24"/><w:szCs w:val="24"/></w:rPr><w:t>Fuente: Bello, V. (2015)</w:t></w:r></w:p><w:p><w:pPr><w:pStyle w:val="style0"/><w:numPr><w:ilvl w:val="0"/><w:numId w:val="9"/></w:numPr><w:spacing w:after="720" w:before="0" w:line="360" w:lineRule="auto"/><w:ind w:hanging="0" w:left="0" w:right="0"/><w:jc w:val="both"/></w:pPr><w:r><w:rPr><w:rFonts w:ascii="Times New Roman" w:hAnsi="Times New Roman"/><w:sz w:val="24"/><w:szCs w:val="24"/><w:lang w:val="es-ES"/></w:rPr><w:t>Razón de Apalancamiento Externo</w:t></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Este indicador refiere a la relación de la utilización de financiamiento y aporte propio de la empresa. Para el caso del año 2008 en promedio, el financiamiento de terceros representa Bs. 0,42 por cada Bs. de capital total (ver Gráfico 36), según información proveniente del Balance General al 31-12-2008. Es decir que por cada Bolívar de capital la empresa tiene Bs. 0,42 de deuda. Por lo que mientras más alta esta relación más comprometido se verá el patrimonio de la misma. </w:t></w:r></w:p><w:p><w:pPr><w:pStyle w:val="style0"/><w:spacing w:after="0" w:before="0" w:line="360" w:lineRule="auto"/><w:jc w:val="both"/></w:pPr><w:r><w:rPr><w:rFonts w:ascii="Times New Roman" w:hAnsi="Times New Roman"/><w:sz w:val="24"/><w:szCs w:val="24"/><w:lang w:val="es-ES"/></w:rPr></w:r></w:p><w:p><w:pPr><w:pStyle w:val="style52"/><w:jc w:val="center"/></w:pPr><w:bookmarkStart w:id="206" w:name="_Toc432364941"/><w:r><w:rPr><w:rFonts w:ascii="Times New Roman" w:hAnsi="Times New Roman"/><w:b/><w:i w:val="false"/><w:color w:val="00000A"/><w:sz w:val="24"/></w:rPr><w:t xml:space="preserve">GRÁFICO . </w:t></w:r><w:bookmarkEnd w:id="206"/><w:r><w:rPr><w:rFonts w:ascii="Times New Roman" w:hAnsi="Times New Roman"/><w:i w:val="false"/><w:color w:val="00000A"/><w:sz w:val="24"/></w:rPr><w:t>Razón de Apalancamiento Externo 2008</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Por su parte, en el año 2009 la relación obtenida para este indicador fue de 0,15, inferior al alcanzado el año pasado (ver Gráfico 37), de acuerdo a información proveniente del Balance General al 31-12-2009. Por lo tanto, por cada Bs. de Capital existen Bs. 0,15 de Deuda Total, viéndose menos comprometido el capital.  Esto es principalmente explicado por un incremento en el patrimonio contra una reducción de los pasivos totales, afectando positivamente el resultado.</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207" w:name="_Toc432364942"/><w:r><w:rPr><w:rFonts w:ascii="Times New Roman" w:hAnsi="Times New Roman"/><w:b/><w:i w:val="false"/><w:color w:val="00000A"/><w:sz w:val="24"/></w:rPr><w:t xml:space="preserve">GRÁFICO . </w:t></w:r><w:bookmarkEnd w:id="207"/><w:r><w:rPr><w:rFonts w:ascii="Times New Roman" w:hAnsi="Times New Roman"/><w:i w:val="false"/><w:color w:val="00000A"/><w:sz w:val="24"/></w:rPr><w:t>Razón de Apalancamiento Externo 2009</w:t></w:r></w:p><w:p><w:pPr><w:pStyle w:val="style0"/><w:tabs><w:tab w:leader="none" w:pos="4135" w:val="center"/></w:tabs><w:spacing w:after="0" w:before="0" w:line="360" w:lineRule="auto"/></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A partir del año 2010, se visualiza un incremento en la relación de pasivos totales y patrimonio, en base a información proveniente del Balance General al 31-12-2010. Esto debido a un estancamiento en la generación de capital contra un progresivo aumento de las deudas a corto y largo plazo. En consecuencia a medida que transcurre el tiempo, para el periodo del 2010 al 2014 se obtiene una razón que indica compromiso, en promedio, de tres veces el capital (ver Gráfico 38, 39, 40, 41, 42), esto de acuerdo a información arrojada en los Balances Generales de los años respectivos.</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08" w:name="_Toc432364943"/><w:r><w:rPr><w:rFonts w:ascii="Times New Roman" w:hAnsi="Times New Roman"/><w:b/><w:i w:val="false"/><w:color w:val="00000A"/><w:sz w:val="24"/></w:rPr><w:t xml:space="preserve">GRÁFICO . </w:t></w:r><w:bookmarkEnd w:id="208"/><w:r><w:rPr><w:rFonts w:ascii="Times New Roman" w:hAnsi="Times New Roman"/><w:i w:val="false"/><w:color w:val="00000A"/><w:sz w:val="24"/></w:rPr><w:t>Razón de Apalancamiento Externo 2010</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52"/><w:jc w:val="center"/></w:pPr><w:bookmarkStart w:id="209" w:name="_Toc432364944"/><w:r><w:rPr><w:rFonts w:ascii="Times New Roman" w:hAnsi="Times New Roman"/><w:b/><w:i w:val="false"/><w:color w:val="00000A"/><w:sz w:val="24"/></w:rPr><w:t xml:space="preserve">GRÁFICO . </w:t></w:r><w:bookmarkEnd w:id="209"/><w:r><w:rPr><w:rFonts w:ascii="Times New Roman" w:hAnsi="Times New Roman"/><w:i w:val="false"/><w:color w:val="00000A"/><w:sz w:val="24"/></w:rPr><w:t>Razón de Apalancamiento Externo 2011</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rPr></w:r></w:p><w:p><w:pPr><w:pStyle w:val="style52"/><w:jc w:val="center"/></w:pPr><w:bookmarkStart w:id="210" w:name="_Toc432364945"/><w:r><w:rPr><w:rFonts w:ascii="Times New Roman" w:hAnsi="Times New Roman"/><w:b/><w:i w:val="false"/><w:color w:val="00000A"/><w:sz w:val="24"/></w:rPr><w:t xml:space="preserve">GRÁFICO . </w:t></w:r><w:bookmarkEnd w:id="210"/><w:r><w:rPr><w:rFonts w:ascii="Times New Roman" w:hAnsi="Times New Roman"/><w:i w:val="false"/><w:color w:val="00000A"/><w:sz w:val="24"/></w:rPr><w:t>Razón de Apalancamiento Externo 2012</w:t></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52"/><w:jc w:val="center"/></w:pPr><w:bookmarkStart w:id="211" w:name="_Toc432364946"/><w:r><w:rPr><w:rFonts w:ascii="Times New Roman" w:hAnsi="Times New Roman"/><w:b/><w:i w:val="false"/><w:color w:val="00000A"/><w:sz w:val="24"/></w:rPr><w:t xml:space="preserve">GRÁFICO . </w:t></w:r><w:bookmarkEnd w:id="211"/><w:r><w:rPr><w:rFonts w:ascii="Times New Roman" w:hAnsi="Times New Roman"/><w:i w:val="false"/><w:color w:val="00000A"/><w:sz w:val="24"/></w:rPr><w:t>Razón de Apalancamiento Externo 2013</w:t></w:r></w:p><w:p><w:pPr><w:pStyle w:val="style0"/><w:spacing w:after="0" w:before="0" w:line="360" w:lineRule="auto"/><w:jc w:val="both"/></w:pPr><w:r><w:rPr><w:rFonts w:ascii="Times New Roman" w:hAnsi="Times New Roman"/><w:sz w:val="24"/><w:szCs w:val="24"/></w:rPr><w:t>Fuente: Bello, V. (2015)</w:t></w:r></w:p><w:p><w:pPr><w:pStyle w:val="style52"/><w:jc w:val="center"/></w:pPr><w:bookmarkStart w:id="212" w:name="_Toc432364947"/><w:r><w:rPr><w:rFonts w:ascii="Times New Roman" w:hAnsi="Times New Roman"/><w:b/><w:i w:val="false"/><w:color w:val="00000A"/><w:sz w:val="24"/></w:rPr><w:t xml:space="preserve">GRÁFICO . </w:t></w:r><w:bookmarkEnd w:id="212"/><w:r><w:rPr><w:rFonts w:ascii="Times New Roman" w:hAnsi="Times New Roman"/><w:i w:val="false"/><w:color w:val="00000A"/><w:sz w:val="24"/></w:rPr><w:t>Razón de Apalancamiento Externo 2014</w:t></w:r></w:p><w:p><w:pPr><w:pStyle w:val="style0"/><w:spacing w:after="0" w:before="0" w:line="360" w:lineRule="auto"/><w:jc w:val="both"/></w:pPr><w:r><w:rPr><w:rFonts w:ascii="Times New Roman" w:hAnsi="Times New Roman"/><w:b/><w:sz w:val="24"/><w:szCs w:val="24"/><w:lang w:val="es-ES"/></w:rPr></w:r></w:p><w:p><w:pPr><w:pStyle w:val="style0"/><w:spacing w:after="720" w:before="0" w:line="100" w:lineRule="atLeast"/><w:jc w:val="both"/></w:pPr><w:r><w:rPr><w:rFonts w:ascii="Times New Roman" w:hAnsi="Times New Roman"/><w:sz w:val="24"/><w:szCs w:val="24"/></w:rPr><w:t>Fuente: Bello, V. (2015)</w:t></w:r></w:p><w:p><w:pPr><w:pStyle w:val="style0"/><w:numPr><w:ilvl w:val="0"/><w:numId w:val="9"/></w:numPr><w:spacing w:after="720" w:before="0" w:line="100" w:lineRule="atLeast"/><w:ind w:hanging="0" w:left="0" w:right="0"/><w:jc w:val="both"/></w:pPr><w:r><w:rPr><w:rFonts w:ascii="Times New Roman" w:hAnsi="Times New Roman"/><w:sz w:val="24"/><w:szCs w:val="24"/><w:lang w:val="es-ES"/></w:rPr><w:t xml:space="preserve">Razón de Apalancamiento Interno </w:t></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Esta razón indica lo que aporta los accionistas (capital) al financiamiento de terceros. En este caso, para los años 2008 y 2009, esta relación resultó 2,65 y 6,81, en promedio respectivamente (ver Gráficos 43 y 44). Indicando así, un incremento en el aporte de los accionistas al financiamiento, de acuerdo a información proveniente del Balance General al 31-12-2008 y 31-12-2009, respectivamente.</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13" w:name="_Toc432364948"/><w:r><w:rPr><w:rFonts w:ascii="Times New Roman" w:hAnsi="Times New Roman"/><w:b/><w:i w:val="false"/><w:color w:val="00000A"/><w:sz w:val="24"/></w:rPr><w:t xml:space="preserve">GRÁFICO . </w:t></w:r><w:bookmarkEnd w:id="213"/><w:r><w:rPr><w:rFonts w:ascii="Times New Roman" w:hAnsi="Times New Roman"/><w:i w:val="false"/><w:color w:val="00000A"/><w:sz w:val="24"/></w:rPr><w:t>Razón de Apalancamiento Interno 2008</w:t></w:r></w:p><w:p><w:pPr><w:pStyle w:val="style0"/><w:spacing w:after="0" w:before="0" w:line="360" w:lineRule="auto"/><w:jc w:val="center"/></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52"/><w:jc w:val="center"/></w:pPr><w:bookmarkStart w:id="214" w:name="_Toc432364949"/><w:r><w:rPr><w:rFonts w:ascii="Times New Roman" w:hAnsi="Times New Roman"/><w:b/><w:i w:val="false"/><w:color w:val="00000A"/><w:sz w:val="24"/></w:rPr><w:t xml:space="preserve">GRÁFICO . </w:t></w:r><w:bookmarkEnd w:id="214"/><w:r><w:rPr><w:rFonts w:ascii="Times New Roman" w:hAnsi="Times New Roman"/><w:i w:val="false"/><w:color w:val="00000A"/><w:sz w:val="24"/></w:rPr><w:t>Razón de Apalancamiento Interno 2009</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A partir del año 2010, el apalancamiento interno se reduce, es decir que el aporte de los accionistas para el pago de las deudas a corto y largo plazo es cada vez menor (ver Gráfico 45), en base a información proveniente del Balance General al 31-12-2010. En el año 2010 la relación patrimonio-pasivo total resulta de 1,97 en promedio. </w:t></w:r></w:p><w:p><w:pPr><w:pStyle w:val="style52"/><w:jc w:val="center"/></w:pPr><w:bookmarkStart w:id="215" w:name="_Toc432364950"/><w:r><w:rPr><w:rFonts w:ascii="Times New Roman" w:hAnsi="Times New Roman"/><w:b/><w:i w:val="false"/><w:color w:val="00000A"/><w:sz w:val="24"/></w:rPr><w:t xml:space="preserve">GRÁFICO . </w:t></w:r><w:bookmarkEnd w:id="215"/><w:r><w:rPr><w:rFonts w:ascii="Times New Roman" w:hAnsi="Times New Roman"/><w:i w:val="false"/><w:color w:val="00000A"/><w:sz w:val="24"/></w:rPr><w:t>Razón de Apalancamiento Interno 2010</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Por su parte en el año 2011, esta relación se reduce a 0,48, en función a información proveniente del Balance General al 31-12-2011. Es decir, que por cada Bs de pasivo total, el aporte de los accionistas es de Bs. 0,48 (ver Gráfico 46), por lo que la capacidad de endeudamiento de la empresa mejora como efectivamente se ve en la razón de endeudamiento. </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216" w:name="_Toc432364951"/><w:r><w:rPr><w:rFonts w:ascii="Times New Roman" w:hAnsi="Times New Roman"/><w:b/><w:i w:val="false"/><w:color w:val="00000A"/><w:sz w:val="24"/></w:rPr><w:t xml:space="preserve">GRÁFICO . </w:t></w:r><w:bookmarkEnd w:id="216"/><w:r><w:rPr><w:rFonts w:ascii="Times New Roman" w:hAnsi="Times New Roman"/><w:i w:val="false"/><w:color w:val="00000A"/><w:sz w:val="24"/></w:rPr><w:t>Razón de Apalancamiento Interno 2011</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Finalmente, en los Gráficos 47, 48 y 49 se visualiza lo descrito anteriormente, la relación baja, en promedio, de forma progresiva hasta el año 2014, evidenciándose la capacidad de la empresa para recurrir a fondos de financiamiento externo para honrar sus deudas, basado en información proveniente de los Balances Generales respectivos.</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17" w:name="_Toc432364952"/><w:r><w:rPr><w:rFonts w:ascii="Times New Roman" w:hAnsi="Times New Roman"/><w:b/><w:i w:val="false"/><w:color w:val="00000A"/><w:sz w:val="24"/></w:rPr><w:t xml:space="preserve">GRÁFICO . </w:t></w:r><w:bookmarkEnd w:id="217"/><w:r><w:rPr><w:rFonts w:ascii="Times New Roman" w:hAnsi="Times New Roman"/><w:i w:val="false"/><w:color w:val="00000A"/><w:sz w:val="24"/></w:rPr><w:t>Razón de Apalancamiento Interno 2012</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218" w:name="_Toc432364953"/><w:r><w:rPr><w:rFonts w:ascii="Times New Roman" w:hAnsi="Times New Roman"/><w:b/><w:i w:val="false"/><w:color w:val="00000A"/><w:sz w:val="24"/></w:rPr><w:t xml:space="preserve">GRÁFICO . </w:t></w:r><w:bookmarkEnd w:id="218"/><w:r><w:rPr><w:rFonts w:ascii="Times New Roman" w:hAnsi="Times New Roman"/><w:i w:val="false"/><w:color w:val="00000A"/><w:sz w:val="24"/></w:rPr><w:t>Razón de Apalancamiento Interno 2013</w:t></w:r></w:p><w:p><w:pPr><w:pStyle w:val="style0"/><w:spacing w:after="0" w:before="0" w:line="360" w:lineRule="auto"/><w:jc w:val="both"/></w:pPr><w:r><w:rPr><w:rFonts w:ascii="Times New Roman" w:hAnsi="Times New Roman"/><w:sz w:val="24"/><w:szCs w:val="24"/></w:rPr><w:t>Fuente: Bello, V. (2015)</w:t></w:r></w:p><w:p><w:pPr><w:pStyle w:val="style52"/><w:jc w:val="center"/></w:pPr><w:bookmarkStart w:id="219" w:name="_Toc432364954"/><w:r><w:rPr><w:rFonts w:ascii="Times New Roman" w:hAnsi="Times New Roman"/><w:b/><w:i w:val="false"/><w:color w:val="00000A"/><w:sz w:val="24"/></w:rPr><w:t xml:space="preserve">GRÁFICO . </w:t></w:r><w:bookmarkEnd w:id="219"/><w:r><w:rPr><w:rFonts w:ascii="Times New Roman" w:hAnsi="Times New Roman"/><w:i w:val="false"/><w:color w:val="00000A"/><w:sz w:val="24"/></w:rPr><w:t>Razón de Apalancamiento Interno 2014</w:t></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0" w:before="0" w:line="360" w:lineRule="auto"/><w:jc w:val="center"/></w:pPr><w:r><w:rPr><w:rFonts w:ascii="Times New Roman" w:hAnsi="Times New Roman"/><w:b/><w:sz w:val="24"/><w:szCs w:val="24"/><w:lang w:val="es-ES"/></w:rPr></w:r></w:p><w:p><w:pPr><w:pStyle w:val="style0"/><w:spacing w:after="720" w:before="0" w:line="100" w:lineRule="atLeast"/><w:jc w:val="both"/></w:pPr><w:r><w:rPr><w:rFonts w:ascii="Times New Roman" w:hAnsi="Times New Roman"/><w:sz w:val="24"/><w:szCs w:val="24"/></w:rPr><w:t>Fuente: Bello, V. (2015)</w:t></w:r></w:p><w:p><w:pPr><w:pStyle w:val="style0"/><w:spacing w:after="720" w:before="0" w:line="100" w:lineRule="atLeast"/><w:jc w:val="both"/></w:pPr><w:r><w:rPr><w:rFonts w:ascii="Times New Roman" w:hAnsi="Times New Roman"/><w:b/><w:sz w:val="24"/><w:szCs w:val="24"/><w:lang w:val="es-ES"/></w:rPr><w:t>Razones de Actividad</w:t></w:r></w:p><w:p><w:pPr><w:pStyle w:val="style0"/><w:numPr><w:ilvl w:val="0"/><w:numId w:val="10"/></w:numPr><w:spacing w:after="0" w:before="0" w:line="360" w:lineRule="auto"/><w:ind w:hanging="0" w:left="0" w:right="0"/><w:jc w:val="both"/></w:pPr><w:r><w:rPr><w:rFonts w:ascii="Times New Roman" w:hAnsi="Times New Roman"/><w:sz w:val="24"/><w:szCs w:val="24"/><w:lang w:val="es-ES"/></w:rPr><w:t>Días Cuentas por Cobrar</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Este indicador de actividad, da cuenta de la cantidad de días que la empresa tarda para recuperar las ventas, para el año 2008 (Grafico 50), de acuerdo a información avalada por el Balance General al 31-12-2008 y Estado de Ganancias y Pérdidas del 01-01-2008 al 31-12-2008, los días promedio alcanzaron los 262, teniendo un tope máximo de días de recuperación de liquidez de 1147 días. Este resultado sugiere una política de ventas con poco seguimiento por parte de la empresa, para el cobro de facturas por concepto de “beneficio” de bovino y porcino.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20" w:name="_Toc432364955"/><w:r><w:rPr><w:rFonts w:ascii="Times New Roman" w:hAnsi="Times New Roman"/><w:b/><w:i w:val="false"/><w:color w:val="00000A"/><w:sz w:val="24"/></w:rPr><w:t xml:space="preserve">GRÁFICO . </w:t></w:r><w:bookmarkEnd w:id="220"/><w:r><w:rPr><w:rFonts w:ascii="Times New Roman" w:hAnsi="Times New Roman"/><w:i w:val="false"/><w:color w:val="00000A"/><w:sz w:val="24"/></w:rPr><w:t>Días Cuentas por Cobrar 2008</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En lo que respecta al año 2009, el promedio de días por cobrar es de 243, aplicando una política rectificada de ventas se observa menor variabilidad en la información (ver Gráfico 51, en base a información avalada por el Balance General al 31-12-2009 y Estado de Ganancias y Pérdidas del 01-01-2009 al 31-12-2009.</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21" w:name="_Toc432364956"/><w:r><w:rPr><w:rFonts w:ascii="Times New Roman" w:hAnsi="Times New Roman"/><w:b/><w:i w:val="false"/><w:color w:val="00000A"/><w:sz w:val="24"/></w:rPr><w:t xml:space="preserve">GRÁFICO . </w:t></w:r><w:bookmarkEnd w:id="221"/><w:r><w:rPr><w:rFonts w:ascii="Times New Roman" w:hAnsi="Times New Roman"/><w:i w:val="false"/><w:color w:val="00000A"/><w:sz w:val="24"/></w:rPr><w:t>Días Cuentas por Cobrar 2009</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Similar situación resultó para el año 2010, de acuerdo a información avalada por el Balance General al 31-12-2010 y Estado de Ganancias y Pérdidas del 01-01-2010 al 31-12-2010 según Gráfico 52, donde el promedio de días de cuentas por cobrar es de 186, con un nivel de ventas promedio en el año de Bs. 6.711.933,32 superior al año anterior de Bs. 4.074.503,14.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22" w:name="_Toc432364957"/><w:r><w:rPr><w:rFonts w:ascii="Times New Roman" w:hAnsi="Times New Roman"/><w:b/><w:i w:val="false"/><w:color w:val="00000A"/><w:sz w:val="24"/></w:rPr><w:t xml:space="preserve">GRÁFICO . </w:t></w:r><w:bookmarkEnd w:id="222"/><w:r><w:rPr><w:rFonts w:ascii="Times New Roman" w:hAnsi="Times New Roman"/><w:i w:val="false"/><w:color w:val="00000A"/><w:sz w:val="24"/></w:rPr><w:t>Días Cuentas por Cobrar 2010</w:t></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Sin embargo para el año 2011, la situación empeora, de acuerdo a información avalada por el Balance General al 31-12-2011 y Estado de Ganancias y Pérdidas del 01-01-2011 al 31-12-2011 debido a que la cantidad de días aumenta, en promedio a, 594 (ver Gráfico53). Esto explicado principalmente por una caída en las ventas promedio (Bs. 1.778.669,96) y acompañado de un incremento en las cuentas por cobrar, respecto al año anterior.</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23" w:name="_Toc432364958"/><w:r><w:rPr><w:rFonts w:ascii="Times New Roman" w:hAnsi="Times New Roman"/><w:b/><w:i w:val="false"/><w:color w:val="00000A"/><w:sz w:val="24"/></w:rPr><w:t xml:space="preserve">GRÁFICO . </w:t></w:r><w:bookmarkEnd w:id="223"/><w:r><w:rPr><w:rFonts w:ascii="Times New Roman" w:hAnsi="Times New Roman"/><w:i w:val="false"/><w:color w:val="00000A"/><w:sz w:val="24"/></w:rPr><w:t>Días Cuentas por Cobrar 2011</w:t></w:r></w:p><w:p><w:pPr><w:pStyle w:val="style0"/><w:spacing w:after="0" w:before="0" w:line="360" w:lineRule="auto"/></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A partir del año 2012, en base a información avalada por el Balance General al 31-12-2012 y Estado de Ganancias y Pérdidas del 01-01-2012 al 31-12-2012, la cantidad promedio de días de cuentas por cobrar alcanza los valores de 483, 157 y 42, para finales del año 2014 (ver Gráfico 54, 55 y 56), con sus estados financieros respectivos. Esto es indicativo de una reducción de las cuentas por cobrar para el periodo mencionado, y un incremento en las ventas. Por lo que la política de ventas adoptada fue dirigida a las ventas de contado con la finalidad de obtener liquidez a corto plazo.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24" w:name="_Toc432364959"/><w:r><w:rPr><w:rFonts w:ascii="Times New Roman" w:hAnsi="Times New Roman"/><w:b/><w:i w:val="false"/><w:color w:val="00000A"/><w:sz w:val="24"/></w:rPr><w:t xml:space="preserve">GRÁFICO . </w:t></w:r><w:bookmarkEnd w:id="224"/><w:r><w:rPr><w:rFonts w:ascii="Times New Roman" w:hAnsi="Times New Roman"/><w:i w:val="false"/><w:color w:val="00000A"/><w:sz w:val="24"/></w:rPr><w:t>Días Cuentas por Cobrar 2012</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52"/><w:jc w:val="center"/></w:pPr><w:bookmarkStart w:id="225" w:name="_Toc432364960"/><w:r><w:rPr><w:rFonts w:ascii="Times New Roman" w:hAnsi="Times New Roman"/><w:b/><w:i w:val="false"/><w:color w:val="00000A"/><w:sz w:val="24"/></w:rPr><w:t xml:space="preserve">GRÁFICO . </w:t></w:r><w:bookmarkEnd w:id="225"/><w:r><w:rPr><w:rFonts w:ascii="Times New Roman" w:hAnsi="Times New Roman"/><w:i w:val="false"/><w:color w:val="00000A"/><w:sz w:val="24"/></w:rPr><w:t>Días Cuentas por Cobrar 2013</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rPr></w:r></w:p><w:p><w:pPr><w:pStyle w:val="style52"/><w:jc w:val="center"/></w:pPr><w:bookmarkStart w:id="226" w:name="_Toc432364961"/><w:r><w:rPr><w:rFonts w:ascii="Times New Roman" w:hAnsi="Times New Roman"/><w:b/><w:i w:val="false"/><w:color w:val="00000A"/><w:sz w:val="24"/></w:rPr><w:t xml:space="preserve">GRÁFICO . </w:t></w:r><w:bookmarkEnd w:id="226"/><w:r><w:rPr><w:rFonts w:ascii="Times New Roman" w:hAnsi="Times New Roman"/><w:i w:val="false"/><w:color w:val="00000A"/><w:sz w:val="24"/></w:rPr><w:t>Días Cuentas por Cobrar 2014</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numPr><w:ilvl w:val="0"/><w:numId w:val="10"/></w:numPr><w:spacing w:after="0" w:before="0" w:line="360" w:lineRule="auto"/><w:ind w:hanging="0" w:left="0" w:right="0"/><w:jc w:val="both"/></w:pPr><w:r><w:rPr><w:rFonts w:ascii="Times New Roman" w:hAnsi="Times New Roman"/><w:sz w:val="24"/><w:szCs w:val="24"/><w:lang w:val="es-ES"/></w:rPr><w:t>Rotación de cuentas por cobrar</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Respecto a este indicador, el cual sugiere cuantas veces se realiza el cobro de las ventas a crédito en un periodo. Para el año 2008, cada 2,48 días se realiza el cobro a los clientes por lo que la entrada de efectivo se hace relativamente rápido, de acuerdo a información avalada por el Balance General al 31-12-2008 y Estado de Ganancias y Pérdidas del 01-01-2008 al 31-12-2008 (ver Gráfico57).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27" w:name="_Toc432364962"/><w:r><w:rPr><w:rFonts w:ascii="Times New Roman" w:hAnsi="Times New Roman"/><w:b/><w:i w:val="false"/><w:color w:val="00000A"/><w:sz w:val="24"/></w:rPr><w:t xml:space="preserve">GRÁFICO . </w:t></w:r><w:bookmarkEnd w:id="227"/><w:r><w:rPr><w:rFonts w:ascii="Times New Roman" w:hAnsi="Times New Roman"/><w:i w:val="false"/><w:color w:val="00000A"/><w:sz w:val="24"/></w:rPr><w:t>Rotación de Cuentas por Cobrar 2008</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Respecto al año 2009, la cantidad de veces no varía referente al año anterior, en función a los resultados en el Balance General al 31-12-2009 y Estado de Ganancias y Pérdidas del 01-01-2009 al 31-12-2009 cuyo dato es de 2,88 en promedio. Esto a pesar de tener unas cuentas por cobrar menores al año 2008, de Bs. 1.670.480,08 (ver Gráfico 58). </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28" w:name="_Toc432364963"/><w:r><w:rPr><w:rFonts w:ascii="Times New Roman" w:hAnsi="Times New Roman"/><w:b/><w:i w:val="false"/><w:color w:val="00000A"/><w:sz w:val="24"/></w:rPr><w:t xml:space="preserve">GRÁFICO . </w:t></w:r><w:bookmarkEnd w:id="228"/><w:r><w:rPr><w:rFonts w:ascii="Times New Roman" w:hAnsi="Times New Roman"/><w:i w:val="false"/><w:color w:val="00000A"/><w:sz w:val="24"/></w:rPr><w:t>Rotación de Cuentas por Cobrar 2009</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Para el periodo 2010 a 2012, la rotación de las cuentas por cobrar se fue reduciendo, con un ligero aumento para el año 2012, siendo estos valores de 2,66; 0.66 y 0,85, respectivamente (ver Gráficos 59, 60 y 61). Esto explicado por una reducción al periodo 2011 y luego incremento para el 2012 en las ventas, pero con un incremento en las cuentas por cobrar en los tres años, direccionando a la empresa a aplicar una política de cobros efectiva para así recuperar liquidez de forma rápida para la empresa, en base a información avalada por el Balance General y Estado de Ganancias y Pérdidas del período correspondiente.</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29" w:name="_Toc432364964"/><w:r><w:rPr><w:rFonts w:ascii="Times New Roman" w:hAnsi="Times New Roman"/><w:b/><w:i w:val="false"/><w:color w:val="00000A"/><w:sz w:val="24"/></w:rPr><w:t xml:space="preserve">GRÁFICO . </w:t></w:r><w:bookmarkEnd w:id="229"/><w:r><w:rPr><w:rFonts w:ascii="Times New Roman" w:hAnsi="Times New Roman"/><w:i w:val="false"/><w:color w:val="00000A"/><w:sz w:val="24"/></w:rPr><w:t>Rotación de Cuentas por Cobrar 2010</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52"/><w:jc w:val="center"/></w:pPr><w:bookmarkStart w:id="230" w:name="_Toc432364965"/><w:r><w:rPr><w:rFonts w:ascii="Times New Roman" w:hAnsi="Times New Roman"/><w:b/><w:i w:val="false"/><w:color w:val="00000A"/><w:sz w:val="24"/></w:rPr><w:t xml:space="preserve">GRÁFICO . </w:t></w:r><w:bookmarkEnd w:id="230"/><w:r><w:rPr><w:rFonts w:ascii="Times New Roman" w:hAnsi="Times New Roman"/><w:i w:val="false"/><w:color w:val="00000A"/><w:sz w:val="24"/></w:rPr><w:t>Rotación de Cuentas por Cobrar 2011</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52"/><w:jc w:val="center"/></w:pPr><w:bookmarkStart w:id="231" w:name="_Toc432364966"/><w:r><w:rPr><w:rFonts w:ascii="Times New Roman" w:hAnsi="Times New Roman"/><w:b/><w:i w:val="false"/><w:color w:val="00000A"/><w:sz w:val="24"/></w:rPr><w:t xml:space="preserve">GRÁFICO . </w:t></w:r><w:bookmarkEnd w:id="231"/><w:r><w:rPr><w:rFonts w:ascii="Times New Roman" w:hAnsi="Times New Roman"/><w:i w:val="false"/><w:color w:val="00000A"/><w:sz w:val="24"/></w:rPr><w:t>Rotación de Cuentas por Cobrar 2012</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Situación contraria sucede para los últimos años (2013 y 2014), donde la rotación aumenta considerablemente, 2,68 y 9,97 respectivamente (Ver Gráficos 62 y 63). De acuerdo a la información de los estados financieros respectivos, se puede indicar que al existir un incremento en las ventas y reducción de las cuentas por cobrar, la relación de ventas al contado fue superior a las de crédito, es decir que el ingreso disponible para la empresa se correspondía con un nivel de liquidez que orientara a la empresa a una política de cobros menos agresiva a la de años anteriores.</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32" w:name="_Toc432364967"/><w:r><w:rPr><w:rFonts w:ascii="Times New Roman" w:hAnsi="Times New Roman"/><w:b/><w:i w:val="false"/><w:color w:val="00000A"/><w:sz w:val="24"/></w:rPr><w:t xml:space="preserve">GRÁFICO . </w:t></w:r><w:bookmarkEnd w:id="232"/><w:r><w:rPr><w:rFonts w:ascii="Times New Roman" w:hAnsi="Times New Roman"/><w:i w:val="false"/><w:color w:val="00000A"/><w:sz w:val="24"/></w:rPr><w:t>Rotación de Cuentas por Cobrar 2013</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33" w:name="_Toc432364968"/><w:r><w:rPr><w:rFonts w:ascii="Times New Roman" w:hAnsi="Times New Roman"/><w:b/><w:i w:val="false"/><w:color w:val="00000A"/><w:sz w:val="24"/></w:rPr><w:t xml:space="preserve">GRÁFICO . </w:t></w:r><w:bookmarkEnd w:id="233"/><w:r><w:rPr><w:rFonts w:ascii="Times New Roman" w:hAnsi="Times New Roman"/><w:i w:val="false"/><w:color w:val="00000A"/><w:sz w:val="24"/></w:rPr><w:t>Rotación de Cuentas por Cobrar 2014</w:t></w:r></w:p><w:p><w:pPr><w:pStyle w:val="style0"/><w:spacing w:after="0" w:before="0" w:line="360" w:lineRule="auto"/><w:jc w:val="both"/></w:pPr><w:r><w:rPr><w:rFonts w:ascii="Times New Roman" w:hAnsi="Times New Roman"/><w:sz w:val="24"/><w:szCs w:val="24"/></w:rPr><w:t>Fuente: Bello, V. (2015)</w:t></w:r></w:p><w:p><w:pPr><w:pStyle w:val="style0"/><w:numPr><w:ilvl w:val="0"/><w:numId w:val="10"/></w:numPr><w:spacing w:after="0" w:before="0" w:line="360" w:lineRule="auto"/><w:ind w:hanging="0" w:left="0" w:right="0"/><w:jc w:val="both"/></w:pPr><w:r><w:rPr><w:rFonts w:ascii="Times New Roman" w:hAnsi="Times New Roman"/><w:sz w:val="24"/><w:szCs w:val="24"/><w:lang w:val="es-ES"/></w:rPr><w:t>Rotación de Activos Fijos</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Este indicador representa la relación entre las ventas y los activos fijos, los cuales se tienen conocimiento que son aquellos utilizados para la generación de productos y servicios que generen ingresos a la empresa. </w:t></w:r></w:p><w:p><w:pPr><w:pStyle w:val="style0"/><w:spacing w:after="0" w:before="0" w:line="360" w:lineRule="auto"/><w:jc w:val="both"/></w:pPr><w:r><w:rPr><w:rFonts w:ascii="Times New Roman" w:hAnsi="Times New Roman"/><w:sz w:val="24"/><w:szCs w:val="24"/><w:lang w:val="es-ES"/></w:rPr></w:r></w:p><w:p><w:pPr><w:pStyle w:val="style52"/><w:jc w:val="center"/></w:pPr><w:bookmarkStart w:id="234" w:name="_Toc432364969"/><w:r><w:rPr><w:rFonts w:ascii="Times New Roman" w:hAnsi="Times New Roman"/><w:b/><w:i w:val="false"/><w:color w:val="00000A"/><w:sz w:val="24"/></w:rPr><w:t xml:space="preserve">GRÁFICO . </w:t></w:r><w:bookmarkEnd w:id="234"/><w:r><w:rPr><w:rFonts w:ascii="Times New Roman" w:hAnsi="Times New Roman"/><w:i w:val="false"/><w:color w:val="00000A"/><w:sz w:val="24"/></w:rPr><w:t>Rotación de Activo Fijo 2008</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Para el año 2008, como se puede observar en el Grafico 64 y basado en la información avalada por el Balance General al 31-12-2008 y Estado de Ganancias y Pérdidas del 01-01-2008 al 31-12-2008, en promedio los ingresos por concepto de ventas (servicio de beneficio bovino y porcino) representan 3,96 veces al activo fijo de la empresa. Es decir que la empresa alcanza un alto rendimiento sobre los activos tal y como se verifica más adelante en el indicador correspondiente. </w:t></w:r></w:p><w:p><w:pPr><w:pStyle w:val="style0"/><w:spacing w:after="0" w:before="0" w:line="360" w:lineRule="auto"/><w:jc w:val="both"/></w:pPr><w:r><w:rPr><w:rFonts w:ascii="Times New Roman" w:hAnsi="Times New Roman"/><w:sz w:val="24"/><w:szCs w:val="24"/><w:lang w:val="es-ES"/></w:rPr></w:r></w:p><w:p><w:pPr><w:pStyle w:val="style52"/><w:jc w:val="center"/></w:pPr><w:bookmarkStart w:id="235" w:name="_Toc432364970"/><w:r><w:rPr><w:rFonts w:ascii="Times New Roman" w:hAnsi="Times New Roman"/><w:b/><w:i w:val="false"/><w:color w:val="00000A"/><w:sz w:val="24"/></w:rPr><w:t xml:space="preserve">GRÁFICO . </w:t></w:r><w:bookmarkEnd w:id="235"/><w:r><w:rPr><w:rFonts w:ascii="Times New Roman" w:hAnsi="Times New Roman"/><w:i w:val="false"/><w:color w:val="00000A"/><w:sz w:val="24"/></w:rPr><w:t>Rotación de Activo Fijo 2009</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El valor del indicador para el 2009 es menor respecto al 2008, siendo de 2,50, por lo que por cada Bs. invertido en activos fijos se obtienen por ingresos Bs. 2,50 (ver Gráfico 65), de acuerdo a información avalada por el Balance General al 31-12-2009 y Estado de Ganancias y Pérdidas del 01-01-2009 al 31-12-2009. Esto se traduce en una rentabilidad menor sobre el activo, ya que este en promedio es mayor en el año 2009 respecto al 2008 y las ventas disminuyen en el mismo periodo. </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Para los años 2010 y 2011, este indicador se reduce cada vez más, 1,84 y 0,67, por lo que la rotación del activo fijo es menor de un año a otro y la productividad de la maquinaria y equipo en el servicio prestado es menor (Ver Gráficos 66 y 67), según información avalada por el Balance General y el Estado de Ganancias y Pérdidas correspondiente al período.</w:t></w:r></w:p><w:p><w:pPr><w:pStyle w:val="style52"/><w:jc w:val="center"/></w:pPr><w:bookmarkStart w:id="236" w:name="_Toc432364971"/><w:r><w:rPr><w:rFonts w:ascii="Times New Roman" w:hAnsi="Times New Roman"/><w:b/><w:i w:val="false"/><w:color w:val="00000A"/><w:sz w:val="24"/></w:rPr><w:t xml:space="preserve">GRÁFICO . </w:t></w:r><w:bookmarkEnd w:id="236"/><w:r><w:rPr><w:rFonts w:ascii="Times New Roman" w:hAnsi="Times New Roman"/><w:i w:val="false"/><w:color w:val="00000A"/><w:sz w:val="24"/></w:rPr><w:t>Rotación de Activo Fijo 2010</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r></w:p><w:p><w:pPr><w:pStyle w:val="style52"/><w:jc w:val="center"/></w:pPr><w:bookmarkStart w:id="237" w:name="_Toc432364972"/><w:r><w:rPr><w:rFonts w:ascii="Times New Roman" w:hAnsi="Times New Roman"/><w:b/><w:i w:val="false"/><w:color w:val="00000A"/><w:sz w:val="24"/></w:rPr><w:t xml:space="preserve">GRÁFICO . </w:t></w:r><w:bookmarkEnd w:id="237"/><w:r><w:rPr><w:rFonts w:ascii="Times New Roman" w:hAnsi="Times New Roman"/><w:i w:val="false"/><w:color w:val="00000A"/><w:sz w:val="24"/></w:rPr><w:t>Rotación de Activo Fijo 2011</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Finalmente, para el periodo 2012-2014, se incrementa levemente y en menos proporción la rotación de activo fijo. Los valores resultantes son, en promedio: 0,68, 0,70 y 0,79, respectivamente, (ver Gráficos 68, 69 y 70); con una tendencia creciendo que indica mejora en la productividad de los activos fijos, evidenciado en la información avalada por el Balance General y Estado de Ganancias y Pérdidas de esos períodos.</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238" w:name="_Toc432364973"/><w:r><w:rPr><w:rFonts w:ascii="Times New Roman" w:hAnsi="Times New Roman"/><w:b/><w:i w:val="false"/><w:color w:val="00000A"/><w:sz w:val="24"/></w:rPr><w:t xml:space="preserve">GRÁFICO . </w:t></w:r><w:bookmarkEnd w:id="238"/><w:r><w:rPr><w:rFonts w:ascii="Times New Roman" w:hAnsi="Times New Roman"/><w:i w:val="false"/><w:color w:val="00000A"/><w:sz w:val="24"/></w:rPr><w:t>Rotación de Activo Fijo 2012</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239" w:name="_Toc432364974"/><w:r><w:rPr><w:rFonts w:ascii="Times New Roman" w:hAnsi="Times New Roman"/><w:b/><w:i w:val="false"/><w:color w:val="00000A"/><w:sz w:val="24"/></w:rPr><w:t xml:space="preserve">GRÁFICO . </w:t></w:r><w:bookmarkEnd w:id="239"/><w:r><w:rPr><w:rFonts w:ascii="Times New Roman" w:hAnsi="Times New Roman"/><w:i w:val="false"/><w:color w:val="00000A"/><w:sz w:val="24"/></w:rPr><w:t>Rotación de Activo Fijo 2013</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52"/><w:jc w:val="center"/></w:pPr><w:bookmarkStart w:id="240" w:name="_Toc432364975"/><w:r><w:rPr><w:rFonts w:ascii="Times New Roman" w:hAnsi="Times New Roman"/><w:b/><w:i w:val="false"/><w:color w:val="00000A"/><w:sz w:val="24"/></w:rPr><w:t xml:space="preserve">GRÁFICO . </w:t></w:r><w:bookmarkEnd w:id="240"/><w:r><w:rPr><w:rFonts w:ascii="Times New Roman" w:hAnsi="Times New Roman"/><w:i w:val="false"/><w:color w:val="00000A"/><w:sz w:val="24"/></w:rPr><w:t>Rotación de Activo Fijo 2014</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rPr></w:r></w:p><w:p><w:pPr><w:pStyle w:val="style0"/><w:numPr><w:ilvl w:val="0"/><w:numId w:val="10"/></w:numPr><w:spacing w:after="720" w:before="0" w:line="100" w:lineRule="atLeast"/><w:ind w:hanging="0" w:left="0" w:right="0"/><w:jc w:val="both"/></w:pPr><w:r><w:rPr><w:rFonts w:ascii="Times New Roman" w:hAnsi="Times New Roman"/><w:sz w:val="24"/><w:szCs w:val="24"/></w:rPr><w:t>Rotación de Capital de Trabajo</w:t></w:r></w:p><w:p><w:pPr><w:pStyle w:val="style0"/><w:spacing w:after="720" w:before="0" w:line="360" w:lineRule="auto"/><w:jc w:val="both"/></w:pPr><w:r><w:rPr><w:rFonts w:ascii="Times New Roman" w:hAnsi="Times New Roman"/><w:sz w:val="24"/><w:szCs w:val="24"/></w:rPr><w:t xml:space="preserve">     </w:t></w:r><w:r><w:rPr><w:rFonts w:ascii="Times New Roman" w:hAnsi="Times New Roman"/><w:sz w:val="24"/><w:szCs w:val="24"/></w:rPr><w:t>Este indicador compara la cantidad de dinero que genera en ganancias con la cantidad de capital de trabajo que toma generar esos ingresos, midiendo así la eficiencia en la inversión en activos corrientes para la operatividad de la empresa.</w:t></w:r></w:p><w:p><w:pPr><w:pStyle w:val="style0"/><w:spacing w:after="0" w:before="0" w:line="360" w:lineRule="auto"/><w:jc w:val="both"/></w:pPr><w:r><w:rPr><w:rFonts w:ascii="Times New Roman" w:hAnsi="Times New Roman"/><w:sz w:val="24"/><w:szCs w:val="24"/></w:rPr><w:t xml:space="preserve">     </w:t></w:r><w:r><w:rPr><w:rFonts w:ascii="Times New Roman" w:hAnsi="Times New Roman"/><w:sz w:val="24"/><w:szCs w:val="24"/></w:rPr><w:t>Para el año 2008, de acuerdo al Estado de Ganancias y Pérdidas del 01-01-2008 al 31-12-2008 esta relación alcanzo el valor promedio de 2,12, es decir que por cada Bs. de Capital de Trabajo se generan Bs. 2,12 de ingreso por ventas (ver Gráfico 71). En el año 2009 esa relación disminuyó a 1,52, por lo que la eficiencia en el uso de los activos corrientes se vio deteriorada al percibir Bs. 1,52 por cada Bs. de capital de trabajo, basado en el Estado de Ganancias y Pérdidas del 01-01-2009 al 31-12-2009, explicado por una reducción en las ventas (-31%) con un leve aumento en el capital de trabajo de Bs. 616.926,41 (ver Gráfico 72).</w:t></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52"/><w:jc w:val="center"/></w:pPr><w:bookmarkStart w:id="241" w:name="_Toc432364976"/><w:r><w:rPr><w:rFonts w:ascii="Times New Roman" w:hAnsi="Times New Roman"/><w:b/><w:i w:val="false"/><w:color w:val="00000A"/><w:sz w:val="24"/></w:rPr><w:t xml:space="preserve">GRÁFICO . </w:t></w:r><w:bookmarkEnd w:id="241"/><w:r><w:rPr><w:rFonts w:ascii="Times New Roman" w:hAnsi="Times New Roman"/><w:i w:val="false"/><w:color w:val="00000A"/><w:sz w:val="24"/></w:rPr><w:t>Rotación de Capital de Trabajo 2008</w:t><w:drawing><wp:anchor allowOverlap="1" behindDoc="1" distB="0" distL="0" distR="0" distT="0" layoutInCell="1" locked="0" relativeHeight="0" simplePos="0"><wp:simplePos x="0" y="0"/><wp:positionH relativeFrom="character"><wp:posOffset>331470</wp:posOffset></wp:positionH><wp:positionV relativeFrom="line"><wp:posOffset>449580</wp:posOffset></wp:positionV><wp:extent cx="4686300" cy="230441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3"/><a:srcRect/><a:stretch><a:fillRect/></a:stretch></pic:blipFill><pic:spPr bwMode="auto"><a:xfrm><a:off x="0" y="0"/><a:ext cx="4686300" cy="2304415"/></a:xfrm><a:prstGeom prst="rect"><a:avLst/></a:prstGeom><a:noFill/><a:ln w="9525"><a:noFill/><a:miter lim="800000"/><a:headEnd/><a:tailEnd/></a:ln></pic:spPr></pic:pic></a:graphicData></a:graphic></wp:anchor></w:drawing></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rPr></w:r></w:p><w:p><w:pPr><w:pStyle w:val="style52"/><w:jc w:val="center"/></w:pPr><w:bookmarkStart w:id="242" w:name="_Toc432364977"/><w:r><w:rPr><w:rFonts w:ascii="Times New Roman" w:hAnsi="Times New Roman"/><w:b/><w:i w:val="false"/><w:color w:val="00000A"/><w:sz w:val="24"/></w:rPr><w:t xml:space="preserve">GRÁFICO . </w:t></w:r><w:bookmarkEnd w:id="242"/><w:r><w:rPr><w:rFonts w:ascii="Times New Roman" w:hAnsi="Times New Roman"/><w:i w:val="false"/><w:color w:val="00000A"/><w:sz w:val="24"/></w:rPr><w:t>Rotación de Capital de Trabajo 2009</w:t></w:r></w:p><w:p><w:pPr><w:pStyle w:val="style0"/><w:spacing w:after="0" w:before="0" w:line="360" w:lineRule="auto"/><w:jc w:val="both"/></w:pPr><w:r><w:rPr><w:rFonts w:ascii="Times New Roman" w:hAnsi="Times New Roman"/><w:b/><w:sz w:val="24"/><w:szCs w:val="24"/></w:rPr><w:drawing><wp:anchor allowOverlap="1" behindDoc="1" distB="0" distL="0" distR="0" distT="0" layoutInCell="1" locked="0" relativeHeight="0" simplePos="0"><wp:simplePos x="0" y="0"/><wp:positionH relativeFrom="character"><wp:posOffset>875665</wp:posOffset></wp:positionH><wp:positionV relativeFrom="line"><wp:posOffset>127635</wp:posOffset></wp:positionV><wp:extent cx="4581525" cy="2324100"/><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4"/><a:srcRect/><a:stretch><a:fillRect/></a:stretch></pic:blipFill><pic:spPr bwMode="auto"><a:xfrm><a:off x="0" y="0"/><a:ext cx="4581525" cy="2324100"/></a:xfrm><a:prstGeom prst="rect"><a:avLst/></a:prstGeom><a:noFill/><a:ln w="9525"><a:noFill/><a:miter lim="800000"/><a:headEnd/><a:tailEnd/></a:ln></pic:spPr></pic:pic></a:graphicData></a:graphic></wp:anchor></w:drawing></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rPr></w:r></w:p><w:p><w:pPr><w:pStyle w:val="style0"/><w:spacing w:after="0" w:before="0" w:line="360" w:lineRule="auto"/><w:jc w:val="both"/></w:pPr><w:r><w:rPr><w:rFonts w:ascii="Times New Roman" w:hAnsi="Times New Roman"/><w:sz w:val="24"/><w:szCs w:val="24"/></w:rPr><w:t xml:space="preserve">     </w:t></w:r><w:r><w:rPr><w:rFonts w:ascii="Times New Roman" w:hAnsi="Times New Roman"/><w:sz w:val="24"/><w:szCs w:val="24"/></w:rPr><w:t>Para el 2010 la rotación de capital de trabajo aumento a 2,3, por lo que la generación de ingresos por cada Bs. de capital de trabajo mejoró (ver Gráfico 73) de acuerdo al Estado de Ganancias y Pérdidas del 01-01-2010 al 31-12-2010; sin embargo para el año 2011, la caída en el capital de trabajo a valores negativos, arroja a un indicador igualmente negativo, según el Estado de Ganancias y Pérdidas del 01-01-2011 al 31-12-2011. Esto debido a que en el año la deuda a corto plazo supero a los activos corrientes por lo que la operatividad de la empresa se vio afectada resultando una caída en las ventas (ver Gráfico 74).</w:t></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52"/><w:jc w:val="center"/></w:pPr><w:bookmarkStart w:id="243" w:name="_Toc432364978"/><w:r><w:rPr><w:rFonts w:ascii="Times New Roman" w:hAnsi="Times New Roman"/><w:b/><w:i w:val="false"/><w:color w:val="00000A"/><w:sz w:val="24"/></w:rPr><w:t xml:space="preserve">GRÁFICO . </w:t></w:r><w:bookmarkEnd w:id="243"/><w:r><w:rPr><w:rFonts w:ascii="Times New Roman" w:hAnsi="Times New Roman"/><w:i w:val="false"/><w:color w:val="00000A"/><w:sz w:val="24"/></w:rPr><w:t>Rotación de Capital de Trabajo 2010</w:t><w:drawing><wp:anchor allowOverlap="1" behindDoc="1" distB="0" distL="0" distR="0" distT="0" layoutInCell="1" locked="0" relativeHeight="0" simplePos="0"><wp:simplePos x="0" y="0"/><wp:positionH relativeFrom="character"><wp:posOffset>358775</wp:posOffset></wp:positionH><wp:positionV relativeFrom="line"><wp:posOffset>331470</wp:posOffset></wp:positionV><wp:extent cx="4581525" cy="230441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5"/><a:srcRect/><a:stretch><a:fillRect/></a:stretch></pic:blipFill><pic:spPr bwMode="auto"><a:xfrm><a:off x="0" y="0"/><a:ext cx="4581525" cy="2304415"/></a:xfrm><a:prstGeom prst="rect"><a:avLst/></a:prstGeom><a:noFill/><a:ln w="9525"><a:noFill/><a:miter lim="800000"/><a:headEnd/><a:tailEnd/></a:ln></pic:spPr></pic:pic></a:graphicData></a:graphic></wp:anchor></w:drawing></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0"/><w:spacing w:after="0" w:before="0" w:line="360" w:lineRule="auto"/><w:jc w:val="both"/></w:pPr><w:r><w:rPr><w:rFonts w:ascii="Times New Roman" w:hAnsi="Times New Roman"/><w:sz w:val="24"/><w:szCs w:val="24"/></w:rPr></w:r></w:p><w:p><w:pPr><w:pStyle w:val="style52"/><w:jc w:val="center"/></w:pPr><w:bookmarkStart w:id="244" w:name="_Toc432364979"/><w:r><w:rPr><w:rFonts w:ascii="Times New Roman" w:hAnsi="Times New Roman"/><w:b/><w:i w:val="false"/><w:color w:val="00000A"/><w:sz w:val="24"/></w:rPr><w:t xml:space="preserve">GRÁFICO . </w:t></w:r><w:bookmarkEnd w:id="244"/><w:r><w:rPr><w:rFonts w:ascii="Times New Roman" w:hAnsi="Times New Roman"/><w:i w:val="false"/><w:color w:val="00000A"/><w:sz w:val="24"/></w:rPr><w:t>Rotación de Capital de Trabajo 2011</w:t></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Por su parte en el año 2012 el valor promedio obtenido fue de 7,89, esto a pesar de obtener para algunos meses del año un capital de trabajo negativo, </w:t></w:r><w:r><w:rPr><w:rFonts w:ascii="Times New Roman" w:hAnsi="Times New Roman"/><w:sz w:val="24"/><w:szCs w:val="24"/></w:rPr><w:t xml:space="preserve">de acuerdo al Estado de Ganancias y Pérdidas del 01-01-2012 al 31-12-2012. </w:t></w:r><w:r><w:rPr><w:rFonts w:ascii="Times New Roman" w:hAnsi="Times New Roman"/><w:sz w:val="24"/><w:szCs w:val="24"/><w:lang w:val="es-ES"/></w:rPr><w:t>Sin embargo, la eficiencia en el mes de Junio, particularmente, logró que el promedio se alejara de los valores más bajos, ya que en ese mes una cuantía inferior a los Bs. 100.000 en capital de trabajo (CT) alcanzara un nivel de ventas de 80,91 veces por cada unidad de CT (ver Gráfico 75).</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245" w:name="_Toc432364980"/><w:r><w:rPr><w:rFonts w:ascii="Times New Roman" w:hAnsi="Times New Roman"/><w:b/><w:i w:val="false"/><w:color w:val="00000A"/><w:sz w:val="24"/></w:rPr><w:t xml:space="preserve">GRÁFICO . </w:t></w:r><w:bookmarkEnd w:id="245"/><w:r><w:rPr><w:rFonts w:ascii="Times New Roman" w:hAnsi="Times New Roman"/><w:i w:val="false"/><w:color w:val="00000A"/><w:sz w:val="24"/></w:rPr><w:t>Rotación de Capital de Trabajo 2012</w:t></w:r></w:p><w:p><w:pPr><w:pStyle w:val="style0"/><w:spacing w:after="0" w:before="0" w:line="360" w:lineRule="auto"/><w:jc w:val="both"/></w:pPr><w:r><w:rPr><w:rFonts w:ascii="Times New Roman" w:hAnsi="Times New Roman"/><w:b/><w:sz w:val="24"/><w:szCs w:val="24"/><w:lang w:val="es-ES"/></w:rPr><w:drawing><wp:anchor allowOverlap="1" behindDoc="1" distB="0" distL="0" distR="0" distT="0" layoutInCell="1" locked="0" relativeHeight="0" simplePos="0"><wp:simplePos x="0" y="0"/><wp:positionH relativeFrom="character"><wp:posOffset>320675</wp:posOffset></wp:positionH><wp:positionV relativeFrom="line"><wp:posOffset>-786765</wp:posOffset></wp:positionV><wp:extent cx="4581525" cy="229552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6"/><a:srcRect/><a:stretch><a:fillRect/></a:stretch></pic:blipFill><pic:spPr bwMode="auto"><a:xfrm><a:off x="0" y="0"/><a:ext cx="4581525" cy="2295525"/></a:xfrm><a:prstGeom prst="rect"><a:avLst/></a:prstGeom><a:noFill/><a:ln w="9525"><a:noFill/><a:miter lim="800000"/><a:headEnd/><a:tailEnd/></a:ln></pic:spPr></pic:pic></a:graphicData></a:graphic></wp:anchor></w:drawing></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Finalmente, esta relación no se mantuvo para los años 2013 y 2014, puesto que el capital de trabajo fue negativo en ambos casos repitiendo la misma situación del año 2011 (ver Gráficos 76 y 77), por lo que se obtiene pérdidas netas al final del ejercicio económico, </w:t></w:r><w:r><w:rPr><w:rFonts w:ascii="Times New Roman" w:hAnsi="Times New Roman"/><w:sz w:val="24"/><w:szCs w:val="24"/></w:rPr><w:t>de acuerdo al Estado de Ganancias y Pérdidas de tales períodos.</w:t></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0"/><w:spacing w:after="0" w:before="0" w:line="360" w:lineRule="auto"/><w:jc w:val="both"/></w:pPr><w:r><w:rPr><w:rFonts w:ascii="Times New Roman" w:hAnsi="Times New Roman"/><w:sz w:val="24"/><w:szCs w:val="24"/><w:lang w:val="es-ES"/></w:rPr></w:r></w:p><w:p><w:pPr><w:pStyle w:val="style52"/><w:jc w:val="center"/></w:pPr><w:bookmarkStart w:id="246" w:name="_Toc432364981"/><w:r><w:rPr><w:rFonts w:ascii="Times New Roman" w:hAnsi="Times New Roman"/><w:b/><w:i w:val="false"/><w:color w:val="00000A"/><w:sz w:val="24"/></w:rPr><w:t xml:space="preserve">GRÁFICO . </w:t></w:r><w:bookmarkEnd w:id="246"/><w:r><w:rPr><w:rFonts w:ascii="Times New Roman" w:hAnsi="Times New Roman"/><w:i w:val="false"/><w:color w:val="00000A"/><w:sz w:val="24"/></w:rPr><w:t>Rotación de Capital de Trabajo 2013</w:t></w:r></w:p><w:p><w:pPr><w:pStyle w:val="style0"/><w:spacing w:after="0" w:before="0" w:line="360" w:lineRule="auto"/><w:jc w:val="both"/></w:pPr><w:r><w:rPr><w:rFonts w:ascii="Times New Roman" w:hAnsi="Times New Roman"/><w:sz w:val="24"/><w:szCs w:val="24"/><w:lang w:val="es-ES"/></w:rPr><w:drawing><wp:anchor allowOverlap="1" behindDoc="1" distB="0" distL="0" distR="0" distT="0" layoutInCell="1" locked="0" relativeHeight="0" simplePos="0"><wp:simplePos x="0" y="0"/><wp:positionH relativeFrom="character"><wp:posOffset>837565</wp:posOffset></wp:positionH><wp:positionV relativeFrom="line"><wp:posOffset>181610</wp:posOffset></wp:positionV><wp:extent cx="4657725" cy="229552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7"/><a:srcRect/><a:stretch><a:fillRect/></a:stretch></pic:blipFill><pic:spPr bwMode="auto"><a:xfrm><a:off x="0" y="0"/><a:ext cx="4657725" cy="2295525"/></a:xfrm><a:prstGeom prst="rect"><a:avLst/></a:prstGeom><a:noFill/><a:ln w="9525"><a:noFill/><a:miter lim="800000"/><a:headEnd/><a:tailEnd/></a:ln></pic:spPr></pic:pic></a:graphicData></a:graphic></wp:anchor></w:drawing></w:r></w:p><w:p><w:pPr><w:pStyle w:val="style0"/><w:spacing w:after="0" w:before="0" w:line="360" w:lineRule="auto"/><w:jc w:val="both"/></w:pPr><w:r><w:rPr><w:rFonts w:ascii="Times New Roman" w:hAnsi="Times New Roman"/><w:sz w:val="24"/><w:szCs w:val="24"/></w:rPr><w:t>Fuente: Bello, V. (2015)</w:t></w:r></w:p><w:p><w:pPr><w:pStyle w:val="style0"/><w:spacing w:after="0" w:before="0" w:line="360" w:lineRule="auto"/><w:jc w:val="both"/></w:pPr><w:r><w:rPr><w:rFonts w:ascii="Times New Roman" w:hAnsi="Times New Roman"/><w:b/><w:sz w:val="24"/><w:szCs w:val="24"/><w:lang w:val="es-ES"/></w:rPr></w:r></w:p><w:p><w:pPr><w:pStyle w:val="style52"/><w:jc w:val="center"/></w:pPr><w:bookmarkStart w:id="247" w:name="_Toc432364982"/><w:r><w:rPr><w:rFonts w:ascii="Times New Roman" w:hAnsi="Times New Roman"/><w:b/><w:i w:val="false"/><w:color w:val="00000A"/><w:sz w:val="24"/></w:rPr><w:t xml:space="preserve">GRÁFICO . </w:t></w:r><w:bookmarkEnd w:id="247"/><w:r><w:rPr><w:rFonts w:ascii="Times New Roman" w:hAnsi="Times New Roman"/><w:i w:val="false"/><w:color w:val="00000A"/><w:sz w:val="24"/></w:rPr><w:t>Rotación de Capital de Trabajo 2014</w:t></w:r></w:p><w:p><w:pPr><w:pStyle w:val="style0"/><w:spacing w:after="0" w:before="0" w:line="360" w:lineRule="auto"/><w:jc w:val="both"/></w:pPr><w:r><w:rPr><w:rFonts w:ascii="Times New Roman" w:hAnsi="Times New Roman"/><w:b/><w:sz w:val="24"/><w:szCs w:val="24"/><w:lang w:val="es-ES"/></w:rPr><w:drawing><wp:anchor allowOverlap="1" behindDoc="1" distB="0" distL="0" distR="0" distT="0" layoutInCell="1" locked="0" relativeHeight="0" simplePos="0"><wp:simplePos x="0" y="0"/><wp:positionH relativeFrom="character"><wp:posOffset>837565</wp:posOffset></wp:positionH><wp:positionV relativeFrom="line"><wp:posOffset>288925</wp:posOffset></wp:positionV><wp:extent cx="4657725" cy="230441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8"/><a:srcRect/><a:stretch><a:fillRect/></a:stretch></pic:blipFill><pic:spPr bwMode="auto"><a:xfrm><a:off x="0" y="0"/><a:ext cx="4657725" cy="2304415"/></a:xfrm><a:prstGeom prst="rect"><a:avLst/></a:prstGeom><a:noFill/><a:ln w="9525"><a:noFill/><a:miter lim="800000"/><a:headEnd/><a:tailEnd/></a:ln></pic:spPr></pic:pic></a:graphicData></a:graphic></wp:anchor></w:drawing></w:r></w:p><w:p><w:pPr><w:pStyle w:val="style0"/><w:spacing w:after="0" w:before="0" w:line="360" w:lineRule="auto"/><w:jc w:val="both"/></w:pPr><w:r><w:rPr><w:rFonts w:ascii="Times New Roman" w:hAnsi="Times New Roman"/><w:sz w:val="24"/><w:szCs w:val="24"/></w:rPr><w:t>Fuente: Bello, V. (2015)</w:t></w:r></w:p><w:p><w:pPr><w:pStyle w:val="style0"/><w:spacing w:after="720" w:before="0" w:line="100" w:lineRule="atLeast"/><w:jc w:val="both"/></w:pPr><w:r><w:rPr><w:rFonts w:ascii="Times New Roman" w:hAnsi="Times New Roman"/><w:b/><w:sz w:val="24"/><w:szCs w:val="24"/><w:lang w:val="es-ES"/></w:rPr></w:r></w:p><w:p><w:pPr><w:pStyle w:val="style0"/><w:spacing w:after="720" w:before="0" w:line="100" w:lineRule="atLeast"/><w:jc w:val="both"/></w:pPr><w:r><w:rPr><w:rFonts w:ascii="Times New Roman" w:hAnsi="Times New Roman"/><w:b/><w:sz w:val="24"/><w:szCs w:val="24"/><w:lang w:val="es-ES"/></w:rPr></w:r></w:p><w:p><w:pPr><w:pStyle w:val="style0"/><w:spacing w:after="720" w:before="0" w:line="100" w:lineRule="atLeast"/><w:jc w:val="both"/></w:pPr><w:r><w:rPr><w:rFonts w:ascii="Times New Roman" w:hAnsi="Times New Roman"/><w:b/><w:sz w:val="24"/><w:szCs w:val="24"/><w:lang w:val="es-ES"/></w:rPr><w:t>Razones de Rentabilidad</w:t></w:r></w:p><w:p><w:pPr><w:pStyle w:val="style0"/><w:numPr><w:ilvl w:val="0"/><w:numId w:val="18"/></w:numPr><w:spacing w:after="720" w:before="0" w:line="100" w:lineRule="atLeast"/><w:ind w:hanging="0" w:left="0" w:right="0"/><w:jc w:val="both"/></w:pPr><w:r><w:rPr><w:rFonts w:ascii="Times New Roman" w:hAnsi="Times New Roman"/><w:sz w:val="24"/><w:szCs w:val="24"/><w:lang w:val="es-ES"/></w:rPr><w:t>Margen de Utilidad en Operaciones</w:t></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Se puede visualizar en el Gráfico 78 que a principios del año 2008 la empresa generó un margen en operaciones máximo del 60%, </w:t></w:r><w:r><w:rPr><w:rFonts w:ascii="Times New Roman" w:hAnsi="Times New Roman"/><w:sz w:val="24"/><w:szCs w:val="24"/></w:rPr><w:t xml:space="preserve">de acuerdo al Estado de Ganancias y Pérdidas del 01-01-2008 al 31-12-2008, </w:t></w:r><w:r><w:rPr><w:rFonts w:ascii="Times New Roman" w:hAnsi="Times New Roman"/><w:sz w:val="24"/><w:szCs w:val="24"/><w:lang w:val="es-ES"/></w:rPr><w:t>lo que significa que la empresa tenía la capacidad de generar utilidad operativa dado el valor de las ventas obtenidas. Sin embargo, se puede observar una caída cada vez más proporcional entre los meses de Abril y Septiembre del mismo año, a pesar de lograr una tasa de crecimiento de las ventas de un 10,8% contra una tasa de crecimiento de las utilidades en operación de un 4,86%, lo que indica un incremento en los costos operativos de la empresa para el periodo mencionado. Finalmente, para el periodo Octubre-Noviembre de 2008 se evidencia una caída pronunciada en el margen de utilidad operativo, caracterizado principalmente por una caída en las ventas del 95,29% y en consecuencia de la utilidad operativa de 99,26%, mostrando una leve recuperación para el Mes de Diciembre del año 2008 de un 22% de margen operativo.</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52"/><w:jc w:val="center"/></w:pPr><w:bookmarkStart w:id="248" w:name="_Toc432364983"/><w:r><w:rPr><w:rFonts w:ascii="Times New Roman" w:hAnsi="Times New Roman"/><w:b/><w:i w:val="false"/><w:color w:val="00000A"/><w:sz w:val="24"/></w:rPr><w:t xml:space="preserve">GRÁFICO . </w:t></w:r><w:bookmarkEnd w:id="248"/><w:r><w:rPr><w:rFonts w:ascii="Times New Roman" w:hAnsi="Times New Roman"/><w:i w:val="false"/><w:color w:val="00000A"/><w:sz w:val="24"/></w:rPr><w:t>Margen de Utilidad en Operaciones 2008</w:t></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spacing w:after="0" w:before="0" w:line="360" w:lineRule="auto"/><w:jc w:val="both"/></w:pPr><w:r><w:rPr><w:rFonts w:ascii="Times New Roman" w:hAnsi="Times New Roman"/><w:b/><w:sz w:val="24"/><w:szCs w:val="24"/><w:lang w:val="es-ES"/></w:rPr></w:r></w:p><w:p><w:pPr><w:pStyle w:val="style0"/><w:tabs><w:tab w:leader="none" w:pos="6263" w:val="left"/></w:tabs><w:spacing w:after="384" w:before="160" w:line="360" w:lineRule="auto"/><w:jc w:val="both"/></w:pPr><w:r><w:rPr><w:rFonts w:ascii="Times New Roman" w:hAnsi="Times New Roman"/><w:sz w:val="24"/><w:szCs w:val="24"/></w:rPr></w:r></w:p><w:p><w:pPr><w:pStyle w:val="style0"/><w:tabs><w:tab w:leader="none" w:pos="6263" w:val="left"/></w:tabs><w:spacing w:after="720" w:before="160" w:line="100" w:lineRule="atLeast"/></w:pPr><w:r><w:rPr><w:rFonts w:ascii="Times New Roman" w:hAnsi="Times New Roman"/><w:sz w:val="24"/><w:szCs w:val="24"/></w:rPr><w:t>Fuente: Bello, V. (2015)</w:t></w:r></w:p><w:p><w:pPr><w:pStyle w:val="style0"/><w:tabs><w:tab w:leader="none" w:pos="6263" w:val="left"/></w:tabs><w:spacing w:after="720" w:before="160" w:line="360" w:lineRule="auto"/><w:jc w:val="both"/></w:pPr><w:r><w:rPr><w:rFonts w:ascii="Times New Roman" w:hAnsi="Times New Roman"/><w:sz w:val="24"/><w:szCs w:val="24"/></w:rPr><w:t xml:space="preserve">     </w:t></w:r><w:r><w:rPr><w:rFonts w:ascii="Times New Roman" w:hAnsi="Times New Roman"/><w:sz w:val="24"/><w:szCs w:val="24"/></w:rPr><w:t>En el Gráfico 79 correspondiente al Margen de Utilidad en Operaciones del año 2009 continúa la recuperación del margen operativo a principios de año que se mantiene hasta el mes de marzo con un 34% respectivo. Para el resto del año se mantiene en promedio en un 32% el margen de utilidad en operaciones, de acuerdo al Estado de Ganancias y Pérdidas del 01-01-2009 al 31-12-2009. Esto representa un año de estabilidad para la empresa, tanto a nivel de ventas como a nivel de utilidad en operaciones.</w:t></w:r></w:p><w:p><w:pPr><w:pStyle w:val="style0"/><w:tabs><w:tab w:leader="none" w:pos="6263" w:val="left"/></w:tabs><w:spacing w:after="384" w:before="160" w:line="360" w:lineRule="auto"/></w:pPr><w:r><w:rPr><w:rFonts w:ascii="Times New Roman" w:hAnsi="Times New Roman"/><w:sz w:val="24"/><w:szCs w:val="24"/></w:rPr></w:r></w:p><w:p><w:pPr><w:pStyle w:val="style0"/><w:tabs><w:tab w:leader="none" w:pos="6263" w:val="left"/></w:tabs><w:spacing w:after="384" w:before="160" w:line="360" w:lineRule="auto"/></w:pPr><w:r><w:rPr><w:rFonts w:ascii="Times New Roman" w:hAnsi="Times New Roman"/><w:sz w:val="24"/><w:szCs w:val="24"/></w:rPr></w:r></w:p><w:p><w:pPr><w:pStyle w:val="style0"/><w:tabs><w:tab w:leader="none" w:pos="6263" w:val="left"/></w:tabs><w:spacing w:after="384" w:before="160" w:line="360" w:lineRule="auto"/></w:pPr><w:r><w:rPr><w:rFonts w:ascii="Times New Roman" w:hAnsi="Times New Roman"/><w:sz w:val="24"/><w:szCs w:val="24"/></w:rPr></w:r></w:p><w:p><w:pPr><w:pStyle w:val="style52"/><w:jc w:val="center"/></w:pPr><w:bookmarkStart w:id="249" w:name="_Toc432364984"/><w:r><w:rPr><w:rFonts w:ascii="Times New Roman" w:hAnsi="Times New Roman"/><w:b/><w:i w:val="false"/><w:color w:val="00000A"/><w:sz w:val="24"/></w:rPr><w:t xml:space="preserve">GRÁFICO . </w:t></w:r><w:bookmarkEnd w:id="249"/><w:r><w:rPr><w:rFonts w:ascii="Times New Roman" w:hAnsi="Times New Roman"/><w:i w:val="false"/><w:color w:val="00000A"/><w:sz w:val="24"/></w:rPr><w:t>Margen de Utilidad en Operaciones 2009</w:t></w:r></w:p><w:p><w:pPr><w:pStyle w:val="style0"/><w:spacing w:after="0" w:before="0" w:line="360" w:lineRule="auto"/><w:jc w:val="center"/></w:pPr><w:r><w:rPr><w:rFonts w:ascii="Times New Roman" w:hAnsi="Times New Roman"/><w:b/><w:sz w:val="24"/><w:szCs w:val="24"/><w:lang w:val="es-ES"/></w:rPr></w:r></w:p><w:p><w:pPr><w:pStyle w:val="style0"/><w:tabs><w:tab w:leader="none" w:pos="6263" w:val="left"/></w:tabs><w:spacing w:after="384" w:before="160" w:line="360" w:lineRule="auto"/><w:jc w:val="both"/></w:pPr><w:r><w:rPr><w:rFonts w:ascii="Times New Roman" w:hAnsi="Times New Roman"/><w:sz w:val="24"/><w:szCs w:val="24"/></w:rPr></w:r></w:p><w:p><w:pPr><w:pStyle w:val="style0"/><w:tabs><w:tab w:leader="none" w:pos="6263" w:val="left"/></w:tabs><w:spacing w:after="384" w:before="160" w:line="360" w:lineRule="auto"/><w:jc w:val="both"/></w:pPr><w:r><w:rPr><w:rFonts w:ascii="Times New Roman" w:hAnsi="Times New Roman"/><w:sz w:val="24"/><w:szCs w:val="24"/></w:rPr></w:r></w:p><w:p><w:pPr><w:pStyle w:val="style0"/><w:tabs><w:tab w:leader="none" w:pos="6263" w:val="left"/></w:tabs><w:spacing w:after="384" w:before="160" w:line="360" w:lineRule="auto"/><w:jc w:val="both"/></w:pPr><w:r><w:rPr><w:rFonts w:ascii="Times New Roman" w:hAnsi="Times New Roman"/><w:sz w:val="24"/><w:szCs w:val="24"/></w:rPr></w:r></w:p><w:p><w:pPr><w:pStyle w:val="style0"/><w:tabs><w:tab w:leader="none" w:pos="6263" w:val="left"/></w:tabs><w:spacing w:after="384" w:before="160" w:line="360" w:lineRule="auto"/><w:jc w:val="both"/></w:pPr><w:r><w:rPr><w:rFonts w:ascii="Times New Roman" w:hAnsi="Times New Roman"/><w:sz w:val="24"/><w:szCs w:val="24"/><w:lang w:val="es-ES"/></w:rPr></w:r></w:p><w:p><w:pPr><w:pStyle w:val="style0"/><w:tabs><w:tab w:leader="none" w:pos="6263" w:val="left"/></w:tabs><w:spacing w:after="720" w:before="0" w:line="100" w:lineRule="atLeast"/></w:pPr><w:bookmarkStart w:id="250" w:name="_Toc323927342"/><w:bookmarkStart w:id="251" w:name="_Toc323927122"/><w:bookmarkStart w:id="252" w:name="_Toc323926904"/><w:bookmarkStart w:id="253" w:name="_Toc297880078"/><w:bookmarkStart w:id="254" w:name="_Toc432365763"/><w:r><w:rPr><w:rFonts w:ascii="Times New Roman" w:hAnsi="Times New Roman"/><w:sz w:val="24"/><w:szCs w:val="24"/></w:rPr><w:t>Fuente: Bello, V. (2015)</w:t></w:r></w:p><w:p><w:pPr><w:pStyle w:val="style0"/><w:tabs><w:tab w:leader="none" w:pos="6263" w:val="left"/></w:tabs><w:spacing w:after="720" w:before="0" w:line="360" w:lineRule="auto"/><w:jc w:val="both"/></w:pPr><w:r><w:rPr><w:rFonts w:ascii="Times New Roman" w:hAnsi="Times New Roman"/><w:sz w:val="24"/><w:szCs w:val="24"/></w:rPr><w:t xml:space="preserve">     </w:t></w:r><w:r><w:rPr><w:rFonts w:ascii="Times New Roman" w:hAnsi="Times New Roman"/><w:sz w:val="24"/><w:szCs w:val="24"/></w:rPr><w:t>Caso contrario ocurre para el año 2010, tal y como se observa en el Grafico 80, basado en el Estado de Ganancias y Pérdidas del 01-01-2010 al 31-12-2010. Para el primer trimestre del año hubo una caída del 8% en el margen de utilidad en operaciones, esto debido a que las ventas crecieron de forma menos que proporcional y la utilidad en operaciones aumento más que proporcional, por lo que se evitó una caída abrupta, gracias al manejo correcto de los gastos para ese período. A partir del mes de Junio, a pesar de un incremento en las ventas de un 35% respecto al mes de Enero, la utilidad en operaciones cayó obteniéndose un margen de 20% contra el 32% de Enero. Para los siguientes meses la empresa logró obtener niveles de venta superiores a 10 Millones de Bs logrando estabilidad hasta el mes de Octubre; sin embargo, para los meses de Noviembre y Diciembre del año 2010 la caída en ventas fue del 51%, obteniéndose una pérdida en operaciones, debido a que el nivel de ventas no cubrió el gasto operativo del mes.</w:t></w:r></w:p><w:p><w:pPr><w:pStyle w:val="style52"/><w:jc w:val="center"/></w:pPr><w:bookmarkStart w:id="255" w:name="_Toc323928062"/><w:r><w:rPr><w:rFonts w:ascii="Times New Roman" w:hAnsi="Times New Roman"/><w:b/><w:i w:val="false"/><w:color w:val="00000A"/><w:sz w:val="24"/></w:rPr><w:t xml:space="preserve">GRÁFICO . </w:t></w:r><w:bookmarkEnd w:id="255"/><w:r><w:rPr><w:rFonts w:ascii="Times New Roman" w:hAnsi="Times New Roman"/><w:i w:val="false"/><w:color w:val="00000A"/><w:sz w:val="24"/></w:rPr><w:t>Margen de Utilidad en Operaciones 2010</w:t></w:r></w:p><w:p><w:pPr><w:pStyle w:val="style0"/><w:tabs><w:tab w:leader="none" w:pos="6263" w:val="left"/></w:tabs><w:spacing w:after="384" w:before="160" w:line="360" w:lineRule="auto"/><w:jc w:val="center"/></w:pPr><w:r><w:rPr><w:rFonts w:ascii="Times New Roman" w:hAnsi="Times New Roman"/><w:sz w:val="24"/><w:szCs w:val="24"/></w:rPr></w:r></w:p><w:p><w:pPr><w:pStyle w:val="style0"/><w:tabs><w:tab w:leader="none" w:pos="6263" w:val="left"/></w:tabs><w:spacing w:after="384" w:before="160" w:line="360" w:lineRule="auto"/></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tabs><w:tab w:leader="none" w:pos="142" w:val="left"/></w:tabs><w:spacing w:after="720" w:before="160" w:line="100" w:lineRule="atLeast"/></w:pPr><w:r><w:rPr><w:rFonts w:ascii="Times New Roman" w:hAnsi="Times New Roman"/><w:sz w:val="24"/><w:szCs w:val="24"/></w:rPr><w:tab/><w:t>Fuente: Bello, V. (2015)</w:t></w:r></w:p><w:p><w:pPr><w:pStyle w:val="style0"/><w:tabs><w:tab w:leader="none" w:pos="142" w:val="left"/></w:tabs><w:spacing w:after="720" w:before="160" w:line="360" w:lineRule="auto"/><w:jc w:val="both"/></w:pPr><w:r><w:rPr><w:rFonts w:ascii="Times New Roman" w:hAnsi="Times New Roman"/><w:sz w:val="24"/><w:szCs w:val="24"/></w:rPr><w:t xml:space="preserve">     </w:t></w:r><w:r><w:rPr><w:rFonts w:ascii="Times New Roman" w:hAnsi="Times New Roman"/><w:sz w:val="24"/><w:szCs w:val="24"/></w:rPr><w:t>Para el año 2011, la recuperación se evidencia hasta el mes de Marzo, alcanzándose un margen de utilidad en operaciones del 29% (ver Gráfico 81). En Abril cayeron las ventas en 64% obteniéndose una pérdida en operaciones y por ende un margen de -59%. Para el mes de Junio la caída fue menos abrupta ya que se recuperan los niveles de venta, y manteniéndose hasta el mes de Diciembre un promedio de utilidad en operaciones de Bs. 187.207, 79 que permitió un margen promedio del 10%, de acuerdo al Estado de Ganancias y Pérdidas del 01-01-2011 al 31-12-2011.</w:t></w:r></w:p><w:p><w:pPr><w:pStyle w:val="style0"/><w:tabs><w:tab w:leader="none" w:pos="1890" w:val="left"/></w:tabs><w:jc w:val="center"/></w:pPr><w:r><w:rPr><w:rFonts w:ascii="Times New Roman" w:hAnsi="Times New Roman"/><w:b/><w:sz w:val="24"/><w:szCs w:val="24"/><w:lang w:val="es-ES"/></w:rPr></w:r></w:p><w:p><w:pPr><w:pStyle w:val="style0"/><w:tabs><w:tab w:leader="none" w:pos="1890" w:val="left"/></w:tabs><w:jc w:val="center"/></w:pPr><w:r><w:rPr><w:rFonts w:ascii="Times New Roman" w:hAnsi="Times New Roman"/><w:b/><w:sz w:val="24"/><w:szCs w:val="24"/><w:lang w:val="es-ES"/></w:rPr></w:r></w:p><w:p><w:pPr><w:pStyle w:val="style0"/><w:tabs><w:tab w:leader="none" w:pos="1890" w:val="left"/></w:tabs><w:jc w:val="center"/></w:pPr><w:r><w:rPr><w:rFonts w:ascii="Times New Roman" w:hAnsi="Times New Roman"/><w:b/><w:sz w:val="24"/><w:szCs w:val="24"/><w:lang w:val="es-ES"/></w:rPr></w:r></w:p><w:p><w:pPr><w:pStyle w:val="style0"/><w:tabs><w:tab w:leader="none" w:pos="1890" w:val="left"/></w:tabs><w:jc w:val="center"/></w:pPr><w:r><w:rPr><w:rFonts w:ascii="Times New Roman" w:hAnsi="Times New Roman"/><w:b/><w:sz w:val="24"/><w:szCs w:val="24"/><w:lang w:val="es-ES"/></w:rPr></w:r></w:p><w:p><w:pPr><w:pStyle w:val="style52"/><w:jc w:val="center"/></w:pPr><w:bookmarkStart w:id="256" w:name="_Toc432364986"/><w:r><w:rPr><w:rFonts w:ascii="Times New Roman" w:hAnsi="Times New Roman"/><w:b/><w:i w:val="false"/><w:color w:val="00000A"/><w:sz w:val="24"/></w:rPr><w:t xml:space="preserve">GRÁFICO . </w:t></w:r><w:bookmarkEnd w:id="256"/><w:r><w:rPr><w:rFonts w:ascii="Times New Roman" w:hAnsi="Times New Roman"/><w:i w:val="false"/><w:color w:val="00000A"/><w:sz w:val="24"/></w:rPr><w:t>Margen de Utilidad en Operaciones 2011</w:t></w:r></w:p><w:p><w:pPr><w:pStyle w:val="style0"/><w:tabs><w:tab w:leader="none" w:pos="1890" w:val="left"/></w:tabs><w:jc w:val="center"/></w:pPr><w:r><w:rPr><w:rFonts w:ascii="Times New Roman" w:hAnsi="Times New Roman"/><w:sz w:val="24"/><w:szCs w:val="24"/></w:rPr></w:r></w:p><w:p><w:pPr><w:pStyle w:val="style0"/><w:tabs><w:tab w:leader="none" w:pos="1890" w:val="left"/></w:tabs></w:pPr><w:r><w:rPr><w:rFonts w:ascii="Times New Roman" w:hAnsi="Times New Roman"/><w:sz w:val="24"/><w:szCs w:val="24"/></w:rPr></w:r></w:p><w:p><w:pPr><w:pStyle w:val="style0"/><w:tabs><w:tab w:leader="none" w:pos="284" w:val="left"/></w:tabs></w:pPr><w:r><w:rPr><w:rFonts w:ascii="Times New Roman" w:hAnsi="Times New Roman"/><w:sz w:val="24"/><w:szCs w:val="24"/></w:rPr><w:tab/></w:r></w:p><w:p><w:pPr><w:pStyle w:val="style0"/><w:tabs><w:tab w:leader="none" w:pos="284" w:val="left"/></w:tabs></w:pPr><w:r><w:rPr><w:rFonts w:ascii="Times New Roman" w:hAnsi="Times New Roman"/><w:sz w:val="24"/><w:szCs w:val="24"/></w:rPr><w:t>Fuente: Bello, V. (2015)</w:t></w:r></w:p><w:p><w:pPr><w:pStyle w:val="style0"/></w:pPr><w:r><w:rPr><w:rFonts w:ascii="Times New Roman" w:hAnsi="Times New Roman"/><w:sz w:val="24"/><w:szCs w:val="24"/></w:rPr></w:r></w:p><w:p><w:pPr><w:pStyle w:val="style0"/><w:spacing w:line="360" w:lineRule="auto"/><w:jc w:val="both"/></w:pPr><w:r><w:rPr><w:rFonts w:ascii="Times New Roman" w:hAnsi="Times New Roman"/><w:sz w:val="24"/><w:szCs w:val="24"/></w:rPr><w:t xml:space="preserve">     </w:t></w:r><w:r><w:rPr><w:rFonts w:ascii="Times New Roman" w:hAnsi="Times New Roman"/><w:sz w:val="24"/><w:szCs w:val="24"/></w:rPr><w:t>En el siguiente gráfico se puede observar una leve caída del margen de utilidad en operaciones de Enero-Abril 2012, causada principalmente por incremento en los gastos operativos, debido a que el nivel de ventas se mantenía en promedio por los 2 Millones Bs. Para el mes de Junio a pesar de un incremento en el nivel de ventas se obtuvo una perdida en operaciones de -152.198,32 por lo que el manejo en los recursos dado el valor de las ventas no era el adecuado. Repitiéndose la misma situación en Agosto 2012 y alcanzando inestabilidad en los posteriores meses, resultando valores negativos en operación de hasta un 28% de acuerdo al Estado de Ganancias y Pérdidas del 01-01-2012 al 31-12-2012.</w:t></w:r></w:p><w:p><w:pPr><w:pStyle w:val="style0"/><w:jc w:val="both"/></w:pPr><w:r><w:rPr><w:rFonts w:ascii="Times New Roman" w:hAnsi="Times New Roman"/><w:sz w:val="24"/><w:szCs w:val="24"/></w:rPr></w:r></w:p><w:p><w:pPr><w:pStyle w:val="style0"/><w:jc w:val="both"/></w:pPr><w:r><w:rPr><w:rFonts w:ascii="Times New Roman" w:hAnsi="Times New Roman"/><w:sz w:val="24"/><w:szCs w:val="24"/></w:rPr></w:r></w:p><w:p><w:pPr><w:pStyle w:val="style0"/><w:jc w:val="both"/></w:pPr><w:r><w:rPr><w:rFonts w:ascii="Times New Roman" w:hAnsi="Times New Roman"/><w:sz w:val="24"/><w:szCs w:val="24"/></w:rPr></w:r></w:p><w:p><w:pPr><w:pStyle w:val="style0"/><w:jc w:val="both"/></w:pPr><w:r><w:rPr><w:rFonts w:ascii="Times New Roman" w:hAnsi="Times New Roman"/><w:sz w:val="24"/><w:szCs w:val="24"/></w:rPr></w:r></w:p><w:p><w:pPr><w:pStyle w:val="style52"/><w:jc w:val="center"/></w:pPr><w:bookmarkStart w:id="257" w:name="_Toc432364987"/><w:r><w:rPr><w:rFonts w:ascii="Times New Roman" w:hAnsi="Times New Roman"/><w:b/><w:i w:val="false"/><w:color w:val="00000A"/><w:sz w:val="24"/></w:rPr><w:t xml:space="preserve">GRÁFICO . </w:t></w:r><w:bookmarkEnd w:id="257"/><w:r><w:rPr><w:rFonts w:ascii="Times New Roman" w:hAnsi="Times New Roman"/><w:i w:val="false"/><w:color w:val="00000A"/><w:sz w:val="24"/></w:rPr><w:t>Margen de Utilidad en Operaciones 2012</w:t></w:r></w:p><w:p><w:pPr><w:pStyle w:val="style0"/><w:tabs><w:tab w:leader="none" w:pos="1890" w:val="left"/></w:tabs><w:jc w:val="center"/></w:pPr><w:r><w:rPr><w:rFonts w:ascii="Times New Roman" w:hAnsi="Times New Roman"/><w:sz w:val="24"/><w:szCs w:val="24"/></w:rPr></w:r></w:p><w:p><w:pPr><w:pStyle w:val="style0"/><w:tabs><w:tab w:leader="none" w:pos="1635" w:val="left"/></w:tabs></w:pPr><w:r><w:rPr><w:rFonts w:ascii="Times New Roman" w:hAnsi="Times New Roman"/><w:sz w:val="24"/><w:szCs w:val="24"/></w:rPr><w:tab/></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tabs><w:tab w:leader="none" w:pos="709" w:val="left"/></w:tabs></w:pPr><w:r><w:rPr><w:rFonts w:ascii="Times New Roman" w:hAnsi="Times New Roman"/><w:sz w:val="24"/><w:szCs w:val="24"/></w:rPr><w:tab/><w:t>Fuente: Bello, V. (2015)</w:t></w:r></w:p><w:p><w:pPr><w:pStyle w:val="style0"/><w:tabs><w:tab w:leader="none" w:pos="709" w:val="left"/></w:tabs></w:pPr><w:r><w:rPr><w:rFonts w:ascii="Times New Roman" w:hAnsi="Times New Roman"/><w:sz w:val="24"/><w:szCs w:val="24"/></w:rPr></w:r></w:p><w:p><w:pPr><w:pStyle w:val="style0"/><w:tabs><w:tab w:leader="none" w:pos="709" w:val="left"/></w:tabs><w:spacing w:line="360" w:lineRule="auto"/><w:jc w:val="both"/></w:pPr><w:r><w:rPr><w:rFonts w:ascii="Times New Roman" w:hAnsi="Times New Roman"/><w:sz w:val="24"/><w:szCs w:val="24"/></w:rPr><w:t xml:space="preserve">     </w:t></w:r><w:r><w:rPr><w:rFonts w:ascii="Times New Roman" w:hAnsi="Times New Roman"/><w:sz w:val="24"/><w:szCs w:val="24"/></w:rPr><w:t xml:space="preserve">Situación particular se evidencia en el Grafico 83, en el cual se alcanza niveles de 20% (Febrero) en el margen de utilidad en operaciones debido a un correspondiente manejo de los gastos operativos en función a las ventas, para el año 2013, de acuerdo al Estado de Ganancias y Pérdidas de ese año. Sin embargo, a partir del mes de Marzo la caída en el margen operativo llega a niveles negativos de máximo 6% y manteniéndose así hasta el finales del año, causado principalmente por un incremento en los gastos operativos de forma más que proporcional al incremento de las ventas. </w:t></w:r></w:p><w:p><w:pPr><w:pStyle w:val="style0"/><w:tabs><w:tab w:leader="none" w:pos="709" w:val="left"/></w:tabs><w:jc w:val="both"/></w:pPr><w:r><w:rPr><w:rFonts w:ascii="Times New Roman" w:hAnsi="Times New Roman"/><w:sz w:val="24"/><w:szCs w:val="24"/></w:rPr></w:r></w:p><w:p><w:pPr><w:pStyle w:val="style0"/><w:tabs><w:tab w:leader="none" w:pos="709" w:val="left"/></w:tabs><w:jc w:val="both"/></w:pPr><w:r><w:rPr><w:rFonts w:ascii="Times New Roman" w:hAnsi="Times New Roman"/><w:sz w:val="24"/><w:szCs w:val="24"/></w:rPr></w:r></w:p><w:p><w:pPr><w:pStyle w:val="style0"/><w:tabs><w:tab w:leader="none" w:pos="709" w:val="left"/></w:tabs><w:jc w:val="both"/></w:pPr><w:r><w:rPr><w:rFonts w:ascii="Times New Roman" w:hAnsi="Times New Roman"/><w:sz w:val="24"/><w:szCs w:val="24"/></w:rPr></w:r></w:p><w:p><w:pPr><w:pStyle w:val="style0"/><w:tabs><w:tab w:leader="none" w:pos="709" w:val="left"/></w:tabs><w:jc w:val="both"/></w:pPr><w:r><w:rPr><w:rFonts w:ascii="Times New Roman" w:hAnsi="Times New Roman"/><w:sz w:val="24"/><w:szCs w:val="24"/></w:rPr></w:r></w:p><w:p><w:pPr><w:pStyle w:val="style0"/><w:tabs><w:tab w:leader="none" w:pos="709" w:val="left"/></w:tabs><w:jc w:val="both"/></w:pPr><w:r><w:rPr><w:rFonts w:ascii="Times New Roman" w:hAnsi="Times New Roman"/><w:sz w:val="24"/><w:szCs w:val="24"/></w:rPr></w:r></w:p><w:p><w:pPr><w:pStyle w:val="style52"/><w:jc w:val="center"/></w:pPr><w:bookmarkStart w:id="258" w:name="_Toc432364988"/><w:r><w:rPr><w:rFonts w:ascii="Times New Roman" w:hAnsi="Times New Roman"/><w:b/><w:i w:val="false"/><w:color w:val="00000A"/><w:sz w:val="24"/></w:rPr><w:t xml:space="preserve">GRÁFICO . </w:t></w:r><w:bookmarkEnd w:id="258"/><w:r><w:rPr><w:rFonts w:ascii="Times New Roman" w:hAnsi="Times New Roman"/><w:i w:val="false"/><w:color w:val="00000A"/><w:sz w:val="24"/></w:rPr><w:t>Margen de Utilidad en Operaciones 2013</w:t></w:r></w:p><w:p><w:pPr><w:pStyle w:val="style0"/><w:tabs><w:tab w:leader="none" w:pos="709" w:val="left"/></w:tabs></w:pPr><w:r><w:rPr><w:rFonts w:ascii="Times New Roman" w:hAnsi="Times New Roman"/><w:sz w:val="24"/><w:szCs w:val="24"/></w:rPr><w:t>Fuente: Bello, V. (2015)</w:t></w:r></w:p><w:p><w:pPr><w:pStyle w:val="style0"/><w:tabs><w:tab w:leader="none" w:pos="284" w:val="left"/></w:tabs></w:pPr><w:r><w:rPr><w:rFonts w:ascii="Times New Roman" w:hAnsi="Times New Roman"/><w:sz w:val="24"/><w:szCs w:val="24"/></w:rPr></w:r></w:p><w:p><w:pPr><w:pStyle w:val="style0"/><w:tabs><w:tab w:leader="none" w:pos="284" w:val="left"/></w:tabs><w:spacing w:line="360" w:lineRule="auto"/><w:jc w:val="both"/></w:pPr><w:r><w:rPr><w:rFonts w:ascii="Times New Roman" w:hAnsi="Times New Roman"/><w:sz w:val="24"/><w:szCs w:val="24"/></w:rPr><w:t xml:space="preserve">     </w:t></w:r><w:r><w:rPr><w:rFonts w:ascii="Times New Roman" w:hAnsi="Times New Roman"/><w:sz w:val="24"/><w:szCs w:val="24"/></w:rPr><w:t>Finalmente en el año 2014, la tendencia de finales del mes anterior se mantiene a pesar de un incremento prolongado en el nivel de ventas durante todo el año. El margen de  utilidad en operaciones se mantiene en promedio en -1% (ver Gráfico 84), de acuerdo al Estado de Ganancias y Pérdidas del 01-01-2014 al 31-12-2014, debido a que el incremento de las ventas y manejo de adecuado de los gastos operativos va alineando la tendencia al logro positivo para el próximo año del margen de utilidad en operaciones.</w:t></w:r></w:p><w:p><w:pPr><w:pStyle w:val="style0"/><w:tabs><w:tab w:leader="none" w:pos="284" w:val="left"/></w:tabs><w:jc w:val="both"/></w:pPr><w:r><w:rPr><w:rFonts w:ascii="Times New Roman" w:hAnsi="Times New Roman"/><w:sz w:val="24"/><w:szCs w:val="24"/></w:rPr></w:r></w:p><w:p><w:pPr><w:pStyle w:val="style0"/><w:tabs><w:tab w:leader="none" w:pos="284" w:val="left"/></w:tabs><w:jc w:val="both"/></w:pPr><w:r><w:rPr><w:rFonts w:ascii="Times New Roman" w:hAnsi="Times New Roman"/><w:sz w:val="24"/><w:szCs w:val="24"/></w:rPr></w:r></w:p><w:p><w:pPr><w:pStyle w:val="style0"/><w:tabs><w:tab w:leader="none" w:pos="284" w:val="left"/></w:tabs><w:jc w:val="both"/></w:pPr><w:r><w:rPr><w:rFonts w:ascii="Times New Roman" w:hAnsi="Times New Roman"/><w:sz w:val="24"/><w:szCs w:val="24"/></w:rPr></w:r></w:p><w:p><w:pPr><w:pStyle w:val="style0"/><w:tabs><w:tab w:leader="none" w:pos="284" w:val="left"/></w:tabs><w:jc w:val="both"/></w:pPr><w:r><w:rPr><w:rFonts w:ascii="Times New Roman" w:hAnsi="Times New Roman"/><w:sz w:val="24"/><w:szCs w:val="24"/></w:rPr></w:r></w:p><w:p><w:pPr><w:pStyle w:val="style0"/><w:tabs><w:tab w:leader="none" w:pos="284" w:val="left"/></w:tabs><w:jc w:val="both"/></w:pPr><w:r><w:rPr><w:rFonts w:ascii="Times New Roman" w:hAnsi="Times New Roman"/><w:sz w:val="24"/><w:szCs w:val="24"/></w:rPr></w:r></w:p><w:p><w:pPr><w:pStyle w:val="style0"/><w:tabs><w:tab w:leader="none" w:pos="284" w:val="left"/></w:tabs><w:jc w:val="both"/></w:pPr><w:r><w:rPr><w:rFonts w:ascii="Times New Roman" w:hAnsi="Times New Roman"/><w:sz w:val="24"/><w:szCs w:val="24"/></w:rPr></w:r></w:p><w:p><w:pPr><w:pStyle w:val="style52"/><w:jc w:val="center"/></w:pPr><w:bookmarkStart w:id="259" w:name="_Toc432364989"/><w:r><w:rPr><w:rFonts w:ascii="Times New Roman" w:hAnsi="Times New Roman"/><w:b/><w:i w:val="false"/><w:color w:val="00000A"/><w:sz w:val="24"/></w:rPr><w:t xml:space="preserve">GRÁFICO . </w:t></w:r><w:bookmarkEnd w:id="259"/><w:r><w:rPr><w:rFonts w:ascii="Times New Roman" w:hAnsi="Times New Roman"/><w:i w:val="false"/><w:color w:val="00000A"/><w:sz w:val="24"/></w:rPr><w:t>Margen de Utilidad en Operaciones 2014</w:t></w:r></w:p><w:p><w:pPr><w:pStyle w:val="style0"/><w:tabs><w:tab w:leader="none" w:pos="709" w:val="left"/></w:tabs><w:jc w:val="center"/></w:pPr><w:r><w:rPr><w:rFonts w:ascii="Times New Roman" w:hAnsi="Times New Roman"/><w:sz w:val="24"/><w:szCs w:val="24"/></w:rPr></w:r></w:p><w:p><w:pPr><w:pStyle w:val="style0"/><w:tabs><w:tab w:leader="none" w:pos="1035" w:val="left"/></w:tabs></w:pPr><w:r><w:rPr><w:rFonts w:ascii="Times New Roman" w:hAnsi="Times New Roman"/><w:sz w:val="24"/><w:szCs w:val="24"/></w:rPr></w:r></w:p><w:p><w:pPr><w:pStyle w:val="style0"/><w:tabs><w:tab w:leader="none" w:pos="1035" w:val="left"/></w:tabs></w:pPr><w:r><w:rPr><w:rFonts w:ascii="Times New Roman" w:hAnsi="Times New Roman"/><w:sz w:val="24"/><w:szCs w:val="24"/></w:rPr></w:r></w:p><w:p><w:pPr><w:pStyle w:val="style0"/><w:tabs><w:tab w:leader="none" w:pos="1035" w:val="left"/></w:tabs></w:pPr><w:r><w:rPr><w:rFonts w:ascii="Times New Roman" w:hAnsi="Times New Roman"/><w:sz w:val="24"/><w:szCs w:val="24"/></w:rPr></w:r></w:p><w:p><w:pPr><w:pStyle w:val="style0"/><w:tabs><w:tab w:leader="none" w:pos="1035" w:val="left"/></w:tabs></w:pPr><w:r><w:rPr><w:rFonts w:ascii="Times New Roman" w:hAnsi="Times New Roman"/><w:sz w:val="24"/><w:szCs w:val="24"/></w:rPr></w:r></w:p><w:p><w:pPr><w:pStyle w:val="style0"/><w:tabs><w:tab w:leader="none" w:pos="1035" w:val="left"/></w:tabs></w:pPr><w:r><w:rPr><w:rFonts w:ascii="Times New Roman" w:hAnsi="Times New Roman"/><w:sz w:val="24"/><w:szCs w:val="24"/></w:rPr></w:r></w:p><w:p><w:pPr><w:pStyle w:val="style0"/><w:tabs><w:tab w:leader="none" w:pos="1035" w:val="left"/></w:tabs></w:pPr><w:r><w:rPr><w:rFonts w:ascii="Times New Roman" w:hAnsi="Times New Roman"/><w:sz w:val="24"/><w:szCs w:val="24"/></w:rPr></w:r></w:p><w:p><w:pPr><w:pStyle w:val="style0"/><w:tabs><w:tab w:leader="none" w:pos="1035" w:val="left"/></w:tabs></w:pPr><w:r><w:rPr><w:rFonts w:ascii="Times New Roman" w:hAnsi="Times New Roman"/><w:sz w:val="24"/><w:szCs w:val="24"/></w:rPr></w:r></w:p><w:p><w:pPr><w:pStyle w:val="style0"/><w:tabs><w:tab w:leader="none" w:pos="1035" w:val="left"/></w:tabs></w:pPr><w:r><w:rPr><w:rFonts w:ascii="Times New Roman" w:hAnsi="Times New Roman"/><w:sz w:val="24"/><w:szCs w:val="24"/></w:rPr></w:r></w:p><w:p><w:pPr><w:pStyle w:val="style0"/><w:tabs><w:tab w:leader="none" w:pos="0" w:val="left"/></w:tabs></w:pPr><w:r><w:rPr><w:rFonts w:ascii="Times New Roman" w:hAnsi="Times New Roman"/><w:sz w:val="24"/><w:szCs w:val="24"/></w:rPr><w:t>Fuente: Bello, V. (2015)</w:t></w:r></w:p><w:p><w:pPr><w:pStyle w:val="style0"/><w:tabs><w:tab w:leader="none" w:pos="1035" w:val="left"/></w:tabs></w:pPr><w:r><w:rPr><w:rFonts w:ascii="Times New Roman" w:hAnsi="Times New Roman"/><w:sz w:val="24"/><w:szCs w:val="24"/></w:rPr></w:r></w:p><w:p><w:pPr><w:pStyle w:val="style0"/><w:numPr><w:ilvl w:val="0"/><w:numId w:val="18"/></w:numPr><w:tabs><w:tab w:leader="none" w:pos="709" w:val="left"/></w:tabs><w:ind w:hanging="0" w:left="0" w:right="0"/></w:pPr><w:r><w:rPr><w:rFonts w:ascii="Times New Roman" w:hAnsi="Times New Roman"/><w:sz w:val="24"/><w:szCs w:val="24"/></w:rPr><w:t>Margen de Utilidad Neta:</w:t></w:r></w:p><w:p><w:pPr><w:pStyle w:val="style0"/><w:tabs><w:tab w:leader="none" w:pos="1035" w:val="left"/></w:tabs></w:pPr><w:r><w:rPr><w:rFonts w:ascii="Times New Roman" w:hAnsi="Times New Roman"/><w:sz w:val="24"/><w:szCs w:val="24"/></w:rPr></w:r></w:p><w:p><w:pPr><w:pStyle w:val="style0"/><w:spacing w:after="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Se puede visualizar en el Gráfico 85 que el comportamiento de la variable margen de utilidad neta en el año 2008 es similar al comportamiento de la variable margen de utilidad en operaciones para el mismo año, </w:t></w:r><w:r><w:rPr><w:rFonts w:ascii="Times New Roman" w:hAnsi="Times New Roman"/><w:sz w:val="24"/><w:szCs w:val="24"/></w:rPr><w:t>de acuerdo al Estado de Ganancias y Pérdidas del 01-01-2008 al 31-12-2008</w:t></w:r><w:r><w:rPr><w:rFonts w:ascii="Times New Roman" w:hAnsi="Times New Roman"/><w:sz w:val="24"/><w:szCs w:val="24"/><w:lang w:val="es-ES"/></w:rPr><w:t xml:space="preserve">.  Por lo que el impacto de otros gastos como de financiamiento, gubernamentales y depreciación y amortización de activos no modifica el comportamiento de dicha variable. </w:t></w:r></w:p><w:p><w:pPr><w:pStyle w:val="style0"/><w:tabs><w:tab w:leader="none" w:pos="1035" w:val="left"/></w:tabs></w:pPr><w:r><w:rPr><w:rFonts w:ascii="Times New Roman" w:hAnsi="Times New Roman"/><w:sz w:val="24"/><w:szCs w:val="24"/></w:rPr></w:r></w:p><w:p><w:pPr><w:pStyle w:val="style0"/><w:tabs><w:tab w:leader="none" w:pos="1035" w:val="left"/></w:tabs></w:pPr><w:r><w:rPr><w:rFonts w:ascii="Times New Roman" w:hAnsi="Times New Roman"/><w:sz w:val="24"/><w:szCs w:val="24"/></w:rPr></w:r></w:p><w:p><w:pPr><w:pStyle w:val="style0"/><w:tabs><w:tab w:leader="none" w:pos="1035" w:val="left"/></w:tabs></w:pPr><w:r><w:rPr><w:rFonts w:ascii="Times New Roman" w:hAnsi="Times New Roman"/><w:sz w:val="24"/><w:szCs w:val="24"/></w:rPr></w:r></w:p><w:p><w:pPr><w:pStyle w:val="style0"/><w:tabs><w:tab w:leader="none" w:pos="1035" w:val="left"/></w:tabs></w:pPr><w:r><w:rPr><w:rFonts w:ascii="Times New Roman" w:hAnsi="Times New Roman"/><w:sz w:val="24"/><w:szCs w:val="24"/></w:rPr></w:r></w:p><w:p><w:pPr><w:pStyle w:val="style52"/><w:jc w:val="center"/></w:pPr><w:bookmarkStart w:id="260" w:name="_Toc432364990"/><w:r><w:rPr><w:rFonts w:ascii="Times New Roman" w:hAnsi="Times New Roman"/><w:b/><w:i w:val="false"/><w:color w:val="00000A"/><w:sz w:val="24"/></w:rPr><w:t xml:space="preserve">GRÁFICO . </w:t></w:r><w:bookmarkEnd w:id="260"/><w:r><w:rPr><w:rFonts w:ascii="Times New Roman" w:hAnsi="Times New Roman"/><w:i w:val="false"/><w:color w:val="00000A"/><w:sz w:val="24"/></w:rPr><w:t>Margen de Utilidad Neta 2008</w:t></w:r></w:p><w:p><w:pPr><w:pStyle w:val="style0"/><w:tabs><w:tab w:leader="none" w:pos="709" w:val="left"/></w:tabs><w:jc w:val="center"/></w:pPr><w:r><w:rPr><w:rFonts w:ascii="Times New Roman" w:hAnsi="Times New Roman"/><w:sz w:val="24"/><w:szCs w:val="24"/></w:rPr></w:r></w:p><w:p><w:pPr><w:pStyle w:val="style0"/><w:tabs><w:tab w:leader="none" w:pos="426" w:val="left"/></w:tabs></w:pPr><w:r><w:rPr><w:rFonts w:ascii="Times New Roman" w:hAnsi="Times New Roman"/><w:sz w:val="24"/><w:szCs w:val="24"/></w:rPr><w:tab/></w:r></w:p><w:p><w:pPr><w:pStyle w:val="style0"/><w:tabs><w:tab w:leader="none" w:pos="426" w:val="left"/></w:tabs></w:pPr><w:r><w:rPr><w:rFonts w:ascii="Times New Roman" w:hAnsi="Times New Roman"/><w:sz w:val="24"/><w:szCs w:val="24"/></w:rPr></w:r></w:p><w:p><w:pPr><w:pStyle w:val="style0"/><w:tabs><w:tab w:leader="none" w:pos="426" w:val="left"/></w:tabs></w:pPr><w:r><w:rPr><w:rFonts w:ascii="Times New Roman" w:hAnsi="Times New Roman"/><w:sz w:val="24"/><w:szCs w:val="24"/></w:rPr></w:r></w:p><w:p><w:pPr><w:pStyle w:val="style0"/><w:tabs><w:tab w:leader="none" w:pos="426" w:val="left"/></w:tabs></w:pPr><w:r><w:rPr><w:rFonts w:ascii="Times New Roman" w:hAnsi="Times New Roman"/><w:sz w:val="24"/><w:szCs w:val="24"/></w:rPr><w:t>Fuente: Bello, V. (2015)</w:t></w:r></w:p><w:p><w:pPr><w:pStyle w:val="style0"/><w:tabs><w:tab w:leader="none" w:pos="426" w:val="left"/></w:tabs></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Para el año 2009, a pesar de tener una estabilidad en el margen de la utilidad en operaciones, no es similar el comportamiento en el margen de utilidad neta. Esto se demuestra a través del cálculo del coeficiente de variación, el cual alcanza un valor de 26% siendo superior su variabilidad con respecto al margen de utilidad en operación de 6% (ver Gráfico 86), en base al Estado de Ganancias y Pérdidas del 01-01-2009 al 31-12-2009.</w:t></w:r></w:p><w:p><w:pPr><w:pStyle w:val="style0"/><w:tabs><w:tab w:leader="none" w:pos="426" w:val="left"/></w:tabs></w:pPr><w:r><w:rPr><w:rFonts w:ascii="Times New Roman" w:hAnsi="Times New Roman"/><w:sz w:val="24"/><w:szCs w:val="24"/></w:rPr></w:r></w:p><w:p><w:pPr><w:pStyle w:val="style0"/><w:tabs><w:tab w:leader="none" w:pos="426" w:val="left"/></w:tabs></w:pPr><w:r><w:rPr><w:rFonts w:ascii="Times New Roman" w:hAnsi="Times New Roman"/><w:sz w:val="24"/><w:szCs w:val="24"/></w:rPr></w:r></w:p><w:p><w:pPr><w:pStyle w:val="style0"/><w:tabs><w:tab w:leader="none" w:pos="426" w:val="left"/></w:tabs></w:pPr><w:r><w:rPr><w:rFonts w:ascii="Times New Roman" w:hAnsi="Times New Roman"/><w:sz w:val="24"/><w:szCs w:val="24"/></w:rPr></w:r></w:p><w:p><w:pPr><w:pStyle w:val="style0"/><w:tabs><w:tab w:leader="none" w:pos="426" w:val="left"/></w:tabs></w:pPr><w:r><w:rPr><w:rFonts w:ascii="Times New Roman" w:hAnsi="Times New Roman"/><w:sz w:val="24"/><w:szCs w:val="24"/></w:rPr></w:r></w:p><w:p><w:pPr><w:pStyle w:val="style0"/><w:tabs><w:tab w:leader="none" w:pos="426" w:val="left"/></w:tabs></w:pPr><w:r><w:rPr><w:rFonts w:ascii="Times New Roman" w:hAnsi="Times New Roman"/><w:sz w:val="24"/><w:szCs w:val="24"/></w:rPr></w:r></w:p><w:p><w:pPr><w:pStyle w:val="style0"/><w:tabs><w:tab w:leader="none" w:pos="426" w:val="left"/></w:tabs></w:pPr><w:r><w:rPr><w:rFonts w:ascii="Times New Roman" w:hAnsi="Times New Roman"/><w:sz w:val="24"/><w:szCs w:val="24"/></w:rPr></w:r></w:p><w:p><w:pPr><w:pStyle w:val="style52"/><w:jc w:val="center"/></w:pPr><w:bookmarkStart w:id="261" w:name="_Toc432364991"/><w:r><w:rPr><w:rFonts w:ascii="Times New Roman" w:hAnsi="Times New Roman"/><w:b/><w:i w:val="false"/><w:color w:val="00000A"/><w:sz w:val="24"/></w:rPr><w:t xml:space="preserve">GRÁFICO . </w:t></w:r><w:bookmarkEnd w:id="261"/><w:r><w:rPr><w:rFonts w:ascii="Times New Roman" w:hAnsi="Times New Roman"/><w:i w:val="false"/><w:color w:val="00000A"/><w:sz w:val="24"/></w:rPr><w:t>Margen de Utilidad Neta 2009</w:t></w:r></w:p><w:p><w:pPr><w:pStyle w:val="style0"/><w:tabs><w:tab w:leader="none" w:pos="709" w:val="left"/></w:tabs><w:jc w:val="center"/></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pPr><w:r><w:rPr><w:rFonts w:ascii="Times New Roman" w:hAnsi="Times New Roman"/><w:sz w:val="24"/><w:szCs w:val="24"/></w:rPr></w:r></w:p><w:p><w:pPr><w:pStyle w:val="style0"/><w:tabs><w:tab w:leader="none" w:pos="284" w:val="left"/></w:tabs></w:pPr><w:r><w:rPr><w:rFonts w:ascii="Times New Roman" w:hAnsi="Times New Roman"/><w:sz w:val="24"/><w:szCs w:val="24"/></w:rPr><w:tab/><w:t>Fuente: Bello, V. (2015)</w:t></w:r></w:p><w:p><w:pPr><w:pStyle w:val="style0"/><w:tabs><w:tab w:leader="none" w:pos="284" w:val="left"/></w:tabs></w:pPr><w:r><w:rPr><w:rFonts w:ascii="Times New Roman" w:hAnsi="Times New Roman"/><w:sz w:val="24"/><w:szCs w:val="24"/></w:rPr></w:r></w:p><w:p><w:pPr><w:pStyle w:val="style0"/><w:tabs><w:tab w:leader="none" w:pos="284" w:val="left"/></w:tabs><w:spacing w:line="360" w:lineRule="auto"/><w:jc w:val="both"/></w:pPr><w:r><w:rPr><w:rFonts w:ascii="Times New Roman" w:hAnsi="Times New Roman"/><w:sz w:val="24"/><w:szCs w:val="24"/></w:rPr><w:t xml:space="preserve">     </w:t></w:r><w:r><w:rPr><w:rFonts w:ascii="Times New Roman" w:hAnsi="Times New Roman"/><w:sz w:val="24"/><w:szCs w:val="24"/></w:rPr><w:t>En el año 2010, la variabilidad del margen de utilidad neta alcanza 325% respecto a la variabilidad del margen de utilidad en operación que solo es del 44% (ver Gráfico 87), de acuerdo al Estado de Ganancias y Pérdidas del 01-01-2010 al 31-12-2010. Esto es explicado por una caída pronunciada en la utilidad neta, debido a factores de gastos que superaron en cuantía la utilidad en operaciones, lo que pudiera indicar la falta de una planificación financiera de los mismos.</w:t></w:r></w:p><w:p><w:pPr><w:pStyle w:val="style0"/><w:tabs><w:tab w:leader="none" w:pos="284" w:val="left"/></w:tabs></w:pPr><w:r><w:rPr><w:rFonts w:ascii="Times New Roman" w:hAnsi="Times New Roman"/><w:sz w:val="24"/><w:szCs w:val="24"/></w:rPr></w:r></w:p><w:p><w:pPr><w:pStyle w:val="style0"/><w:tabs><w:tab w:leader="none" w:pos="284" w:val="left"/></w:tabs></w:pPr><w:r><w:rPr><w:rFonts w:ascii="Times New Roman" w:hAnsi="Times New Roman"/><w:sz w:val="24"/><w:szCs w:val="24"/></w:rPr></w:r></w:p><w:p><w:pPr><w:pStyle w:val="style0"/><w:tabs><w:tab w:leader="none" w:pos="284" w:val="left"/></w:tabs></w:pPr><w:r><w:rPr><w:rFonts w:ascii="Times New Roman" w:hAnsi="Times New Roman"/><w:sz w:val="24"/><w:szCs w:val="24"/></w:rPr></w:r></w:p><w:p><w:pPr><w:pStyle w:val="style0"/><w:tabs><w:tab w:leader="none" w:pos="284" w:val="left"/></w:tabs></w:pPr><w:r><w:rPr><w:rFonts w:ascii="Times New Roman" w:hAnsi="Times New Roman"/><w:sz w:val="24"/><w:szCs w:val="24"/></w:rPr></w:r></w:p><w:p><w:pPr><w:pStyle w:val="style0"/><w:tabs><w:tab w:leader="none" w:pos="284" w:val="left"/></w:tabs></w:pPr><w:r><w:rPr><w:rFonts w:ascii="Times New Roman" w:hAnsi="Times New Roman"/><w:sz w:val="24"/><w:szCs w:val="24"/></w:rPr></w:r></w:p><w:p><w:pPr><w:pStyle w:val="style0"/><w:tabs><w:tab w:leader="none" w:pos="284" w:val="left"/></w:tabs></w:pPr><w:r><w:rPr><w:rFonts w:ascii="Times New Roman" w:hAnsi="Times New Roman"/><w:sz w:val="24"/><w:szCs w:val="24"/></w:rPr></w:r></w:p><w:p><w:pPr><w:pStyle w:val="style52"/><w:jc w:val="center"/></w:pPr><w:bookmarkStart w:id="262" w:name="_Toc432364992"/><w:r><w:rPr><w:rFonts w:ascii="Times New Roman" w:hAnsi="Times New Roman"/><w:b/><w:i w:val="false"/><w:color w:val="00000A"/><w:sz w:val="24"/></w:rPr><w:t xml:space="preserve">GRÁFICO . </w:t></w:r><w:bookmarkEnd w:id="262"/><w:r><w:rPr><w:rFonts w:ascii="Times New Roman" w:hAnsi="Times New Roman"/><w:i w:val="false"/><w:color w:val="00000A"/><w:sz w:val="24"/></w:rPr><w:t>Margen de Utilidad Neta 2010</w:t></w:r></w:p><w:p><w:pPr><w:pStyle w:val="style0"/><w:tabs><w:tab w:leader="none" w:pos="709" w:val="left"/></w:tabs><w:jc w:val="center"/></w:pPr><w:r><w:rPr><w:rFonts w:ascii="Times New Roman" w:hAnsi="Times New Roman"/><w:b/><w:sz w:val="24"/><w:szCs w:val="24"/><w:lang w:val="es-ES"/></w:rPr></w:r></w:p><w:p><w:pPr><w:pStyle w:val="style0"/><w:tabs><w:tab w:leader="none" w:pos="426" w:val="left"/></w:tabs></w:pPr><w:r><w:rPr><w:rFonts w:ascii="Times New Roman" w:hAnsi="Times New Roman"/><w:sz w:val="24"/><w:szCs w:val="24"/></w:rPr><w:tab/></w:r></w:p><w:p><w:pPr><w:pStyle w:val="style0"/><w:tabs><w:tab w:leader="none" w:pos="426" w:val="left"/></w:tabs></w:pPr><w:r><w:rPr><w:rFonts w:ascii="Times New Roman" w:hAnsi="Times New Roman"/><w:sz w:val="24"/><w:szCs w:val="24"/></w:rPr></w:r></w:p><w:p><w:pPr><w:pStyle w:val="style0"/><w:tabs><w:tab w:leader="none" w:pos="426" w:val="left"/></w:tabs></w:pPr><w:r><w:rPr><w:rFonts w:ascii="Times New Roman" w:hAnsi="Times New Roman"/><w:sz w:val="24"/><w:szCs w:val="24"/></w:rPr></w:r></w:p><w:p><w:pPr><w:pStyle w:val="style0"/><w:tabs><w:tab w:leader="none" w:pos="426" w:val="left"/></w:tabs></w:pPr><w:r><w:rPr><w:rFonts w:ascii="Times New Roman" w:hAnsi="Times New Roman"/><w:sz w:val="24"/><w:szCs w:val="24"/></w:rPr><w:t>Fuente: Bello, V. (2015)</w:t></w:r></w:p><w:p><w:pPr><w:pStyle w:val="style0"/><w:tabs><w:tab w:leader="none" w:pos="426" w:val="left"/></w:tabs></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Como se puede observar en el Gráfico 88, éste es similar al gráfico referente al margen de utilidad en operaciones, esto debido a que en el año 2011 la utilidad neta es igual a la utilidad en operaciones. Esta situación se repite para los años 2012, 2013 y 2014, de acuerdo al Estado de Ganancias y Pérdidas de esos periodos. Por lo que la interpretación de resultados es la misma. </w:t></w:r></w:p><w:p><w:pPr><w:pStyle w:val="style0"/><w:tabs><w:tab w:leader="none" w:pos="426" w:val="left"/></w:tabs><w:jc w:val="both"/></w:pPr><w:r><w:rPr><w:rFonts w:ascii="Times New Roman" w:hAnsi="Times New Roman"/><w:sz w:val="24"/><w:szCs w:val="24"/></w:rPr></w:r></w:p><w:p><w:pPr><w:pStyle w:val="style0"/><w:tabs><w:tab w:leader="none" w:pos="426" w:val="left"/></w:tabs><w:jc w:val="both"/></w:pPr><w:r><w:rPr><w:rFonts w:ascii="Times New Roman" w:hAnsi="Times New Roman"/><w:sz w:val="24"/><w:szCs w:val="24"/></w:rPr></w:r></w:p><w:p><w:pPr><w:pStyle w:val="style0"/><w:tabs><w:tab w:leader="none" w:pos="426" w:val="left"/></w:tabs><w:jc w:val="both"/></w:pPr><w:r><w:rPr><w:rFonts w:ascii="Times New Roman" w:hAnsi="Times New Roman"/><w:sz w:val="24"/><w:szCs w:val="24"/></w:rPr></w:r></w:p><w:p><w:pPr><w:pStyle w:val="style0"/><w:tabs><w:tab w:leader="none" w:pos="426" w:val="left"/></w:tabs><w:jc w:val="both"/></w:pPr><w:r><w:rPr><w:rFonts w:ascii="Times New Roman" w:hAnsi="Times New Roman"/><w:sz w:val="24"/><w:szCs w:val="24"/></w:rPr></w:r></w:p><w:p><w:pPr><w:pStyle w:val="style0"/><w:tabs><w:tab w:leader="none" w:pos="426" w:val="left"/></w:tabs><w:jc w:val="both"/></w:pPr><w:r><w:rPr><w:rFonts w:ascii="Times New Roman" w:hAnsi="Times New Roman"/><w:sz w:val="24"/><w:szCs w:val="24"/></w:rPr></w:r></w:p><w:p><w:pPr><w:pStyle w:val="style0"/><w:tabs><w:tab w:leader="none" w:pos="426" w:val="left"/></w:tabs><w:jc w:val="both"/></w:pPr><w:r><w:rPr><w:rFonts w:ascii="Times New Roman" w:hAnsi="Times New Roman"/><w:sz w:val="24"/><w:szCs w:val="24"/></w:rPr></w:r></w:p><w:p><w:pPr><w:pStyle w:val="style0"/><w:tabs><w:tab w:leader="none" w:pos="426" w:val="left"/></w:tabs><w:jc w:val="both"/></w:pPr><w:r><w:rPr><w:rFonts w:ascii="Times New Roman" w:hAnsi="Times New Roman"/><w:sz w:val="24"/><w:szCs w:val="24"/></w:rPr></w:r></w:p><w:p><w:pPr><w:pStyle w:val="style52"/><w:jc w:val="center"/></w:pPr><w:bookmarkStart w:id="263" w:name="_Toc432364993"/><w:r><w:rPr><w:rFonts w:ascii="Times New Roman" w:hAnsi="Times New Roman"/><w:b/><w:i w:val="false"/><w:color w:val="00000A"/><w:sz w:val="24"/></w:rPr><w:t xml:space="preserve">GRÁFICO . </w:t></w:r><w:bookmarkEnd w:id="263"/><w:r><w:rPr><w:rFonts w:ascii="Times New Roman" w:hAnsi="Times New Roman"/><w:i w:val="false"/><w:color w:val="00000A"/><w:sz w:val="24"/></w:rPr><w:t>Margen de Utilidad Neta 2011</w:t></w:r></w:p><w:p><w:pPr><w:pStyle w:val="style0"/><w:tabs><w:tab w:leader="none" w:pos="426" w:val="left"/></w:tabs><w:jc w:val="center"/></w:pPr><w:r><w:rPr><w:rFonts w:ascii="Times New Roman" w:hAnsi="Times New Roman"/><w:sz w:val="24"/><w:szCs w:val="24"/></w:rPr></w:r></w:p><w:p><w:pPr><w:pStyle w:val="style0"/><w:tabs><w:tab w:leader="none" w:pos="284" w:val="left"/></w:tabs></w:pPr><w:r><w:rPr><w:rFonts w:ascii="Times New Roman" w:hAnsi="Times New Roman"/><w:sz w:val="24"/><w:szCs w:val="24"/></w:rPr><w:tab/></w:r></w:p><w:p><w:pPr><w:pStyle w:val="style0"/><w:tabs><w:tab w:leader="none" w:pos="284" w:val="left"/></w:tabs></w:pPr><w:r><w:rPr><w:rFonts w:ascii="Times New Roman" w:hAnsi="Times New Roman"/><w:sz w:val="24"/><w:szCs w:val="24"/></w:rPr></w:r></w:p><w:p><w:pPr><w:pStyle w:val="style0"/><w:tabs><w:tab w:leader="none" w:pos="284" w:val="left"/></w:tabs></w:pPr><w:r><w:rPr><w:rFonts w:ascii="Times New Roman" w:hAnsi="Times New Roman"/><w:sz w:val="24"/><w:szCs w:val="24"/></w:rPr><w:t>Fuente: Bello, V. (2015)</w:t></w:r></w:p><w:p><w:pPr><w:pStyle w:val="style0"/><w:tabs><w:tab w:leader="none" w:pos="284" w:val="left"/></w:tabs></w:pPr><w:r><w:rPr><w:rFonts w:ascii="Times New Roman" w:hAnsi="Times New Roman"/><w:sz w:val="24"/><w:szCs w:val="24"/></w:rPr></w:r></w:p><w:p><w:pPr><w:pStyle w:val="style0"/><w:numPr><w:ilvl w:val="0"/><w:numId w:val="18"/></w:numPr><w:tabs><w:tab w:leader="none" w:pos="284" w:val="left"/></w:tabs><w:spacing w:after="720" w:before="0" w:line="100" w:lineRule="atLeast"/><w:ind w:hanging="0" w:left="0" w:right="0"/><w:jc w:val="both"/></w:pPr><w:r><w:rPr><w:rFonts w:ascii="Times New Roman" w:hAnsi="Times New Roman"/><w:sz w:val="24"/><w:szCs w:val="24"/></w:rPr><w:t>Rendimiento sobre Activos</w:t></w:r></w:p><w:p><w:pPr><w:pStyle w:val="style0"/><w:tabs><w:tab w:leader="none" w:pos="284" w:val="left"/></w:tabs><w:spacing w:after="720" w:before="0" w:line="360" w:lineRule="auto"/><w:jc w:val="both"/></w:pPr><w:r><w:rPr><w:rFonts w:ascii="Times New Roman" w:hAnsi="Times New Roman"/><w:sz w:val="24"/><w:szCs w:val="24"/></w:rPr><w:t xml:space="preserve">     </w:t></w:r><w:r><w:rPr><w:rFonts w:ascii="Times New Roman" w:hAnsi="Times New Roman"/><w:sz w:val="24"/><w:szCs w:val="24"/></w:rPr><w:t>Para el año 2008, la variabilidad del rendimiento es de 51% respecto a la media, lo que supone un mayor heterogeneidad de los valores, lo que es cierto en función al cálculo del rendimiento de los activos. Para el mes de Noviembre de 2008 la caída en el rendimiento refiere a la pérdida neta obtenida ese mes (Grafico 89), de acuerdo al Balance General al 31-12-2008 y Estado de Ganancias y Pérdidas del 01-01-2008 al 31-12-2008,  lo cual evita que haya un rendimiento cercano al promedio de 22%, hasta finales de año. El tope máximo alcanzado en el año, fue en el mes de Octubre de 38,78% en el ROA, lo que significa que por cada Bs. 100 en activos, se generan Bs. 38,78 en utilidad neta.</w:t></w:r></w:p><w:p><w:pPr><w:pStyle w:val="style0"/><w:tabs><w:tab w:leader="none" w:pos="284" w:val="left"/></w:tabs><w:jc w:val="both"/></w:pPr><w:r><w:rPr><w:rFonts w:ascii="Times New Roman" w:hAnsi="Times New Roman"/><w:sz w:val="24"/><w:szCs w:val="24"/></w:rPr></w:r></w:p><w:p><w:pPr><w:pStyle w:val="style52"/><w:jc w:val="center"/></w:pPr><w:bookmarkStart w:id="264" w:name="_Toc432364994"/><w:r><w:rPr><w:rFonts w:ascii="Times New Roman" w:hAnsi="Times New Roman"/><w:b/><w:i w:val="false"/><w:color w:val="00000A"/><w:sz w:val="24"/></w:rPr><w:t xml:space="preserve">GRÁFICO . </w:t></w:r><w:bookmarkEnd w:id="264"/><w:r><w:rPr><w:rFonts w:ascii="Times New Roman" w:hAnsi="Times New Roman"/><w:i w:val="false"/><w:color w:val="00000A"/><w:sz w:val="24"/></w:rPr><w:t>Rendimiento sobre Activos 2008</w:t></w:r></w:p><w:p><w:pPr><w:pStyle w:val="style0"/><w:tabs><w:tab w:leader="none" w:pos="284" w:val="left"/></w:tabs><w:jc w:val="both"/></w:pPr><w:r><w:rPr><w:rFonts w:ascii="Times New Roman" w:hAnsi="Times New Roman"/><w:sz w:val="24"/><w:szCs w:val="24"/></w:rPr></w:r></w:p><w:p><w:pPr><w:pStyle w:val="style0"/><w:tabs><w:tab w:leader="none" w:pos="284" w:val="left"/></w:tabs><w:jc w:val="both"/></w:pPr><w:r><w:rPr><w:rFonts w:ascii="Times New Roman" w:hAnsi="Times New Roman"/><w:sz w:val="24"/><w:szCs w:val="24"/></w:rPr><w:t>Fuente: Bello, V. (2015)</w:t></w:r></w:p><w:p><w:pPr><w:pStyle w:val="style0"/><w:tabs><w:tab w:leader="none" w:pos="284" w:val="left"/></w:tabs><w:jc w:val="both"/></w:pPr><w:r><w:rPr><w:rFonts w:ascii="Times New Roman" w:hAnsi="Times New Roman"/><w:sz w:val="24"/><w:szCs w:val="24"/></w:rPr></w:r></w:p><w:p><w:pPr><w:pStyle w:val="style0"/><w:tabs><w:tab w:leader="none" w:pos="284" w:val="left"/></w:tabs><w:spacing w:line="360" w:lineRule="auto"/><w:jc w:val="both"/></w:pPr><w:r><w:rPr><w:rFonts w:ascii="Times New Roman" w:hAnsi="Times New Roman"/><w:sz w:val="24"/><w:szCs w:val="24"/></w:rPr><w:t xml:space="preserve">     </w:t></w:r><w:r><w:rPr><w:rFonts w:ascii="Times New Roman" w:hAnsi="Times New Roman"/><w:sz w:val="24"/><w:szCs w:val="24"/></w:rPr><w:t>Por su parte, el año 2009 presenta una variabilidad en el rendimiento del 70%, superior al año anterior (Gráfico 90). Sin embargo, el máximo en rendimiento obtenido fue de 17%. Esto debido a que los niveles de utilidad neta son inferiores en el 2009 respecto al 2008, según el Balance General al 31-12-2009 y Estado de Ganancias y Pérdidas del 01-01-2009 al 31-12-2009. Es decir, que respecto al año anterior, se supone un empeoramiento en la utilización de activos para la generación de ganancias.</w:t></w:r></w:p><w:p><w:pPr><w:pStyle w:val="style0"/><w:tabs><w:tab w:leader="none" w:pos="284" w:val="left"/></w:tabs><w:jc w:val="both"/></w:pPr><w:r><w:rPr><w:rFonts w:ascii="Times New Roman" w:hAnsi="Times New Roman"/><w:sz w:val="24"/><w:szCs w:val="24"/></w:rPr></w:r></w:p><w:p><w:pPr><w:pStyle w:val="style0"/><w:tabs><w:tab w:leader="none" w:pos="284" w:val="left"/></w:tabs><w:jc w:val="both"/></w:pPr><w:r><w:rPr><w:rFonts w:ascii="Times New Roman" w:hAnsi="Times New Roman"/><w:sz w:val="24"/><w:szCs w:val="24"/></w:rPr></w:r></w:p><w:p><w:pPr><w:pStyle w:val="style0"/><w:tabs><w:tab w:leader="none" w:pos="284" w:val="left"/></w:tabs><w:jc w:val="both"/></w:pPr><w:r><w:rPr><w:rFonts w:ascii="Times New Roman" w:hAnsi="Times New Roman"/><w:sz w:val="24"/><w:szCs w:val="24"/></w:rPr></w:r></w:p><w:p><w:pPr><w:pStyle w:val="style0"/><w:tabs><w:tab w:leader="none" w:pos="284" w:val="left"/></w:tabs><w:jc w:val="both"/></w:pPr><w:r><w:rPr><w:rFonts w:ascii="Times New Roman" w:hAnsi="Times New Roman"/><w:sz w:val="24"/><w:szCs w:val="24"/></w:rPr></w:r></w:p><w:p><w:pPr><w:pStyle w:val="style0"/><w:tabs><w:tab w:leader="none" w:pos="284" w:val="left"/></w:tabs><w:jc w:val="both"/></w:pPr><w:r><w:rPr><w:rFonts w:ascii="Times New Roman" w:hAnsi="Times New Roman"/><w:sz w:val="24"/><w:szCs w:val="24"/></w:rPr></w:r></w:p><w:p><w:pPr><w:pStyle w:val="style0"/><w:tabs><w:tab w:leader="none" w:pos="284" w:val="left"/></w:tabs><w:jc w:val="both"/></w:pPr><w:r><w:rPr><w:rFonts w:ascii="Times New Roman" w:hAnsi="Times New Roman"/><w:sz w:val="24"/><w:szCs w:val="24"/></w:rPr></w:r></w:p><w:p><w:pPr><w:pStyle w:val="style52"/><w:jc w:val="center"/></w:pPr><w:bookmarkStart w:id="265" w:name="_Toc432364995"/><w:r><w:rPr><w:rFonts w:ascii="Times New Roman" w:hAnsi="Times New Roman"/><w:b/><w:i w:val="false"/><w:color w:val="00000A"/><w:sz w:val="24"/></w:rPr><w:t xml:space="preserve">GRÁFICO . </w:t></w:r><w:bookmarkEnd w:id="265"/><w:r><w:rPr><w:rFonts w:ascii="Times New Roman" w:hAnsi="Times New Roman"/><w:i w:val="false"/><w:color w:val="00000A"/><w:sz w:val="24"/></w:rPr><w:t>Rendimiento sobre Activos 2009</w:t></w:r></w:p><w:p><w:pPr><w:pStyle w:val="style0"/><w:tabs><w:tab w:leader="none" w:pos="1146" w:val="left"/><w:tab w:leader="none" w:pos="5215" w:val="center"/></w:tabs><w:ind w:hanging="0" w:left="720" w:right="0"/></w:pPr><w:r><w:rPr><w:rFonts w:ascii="Times New Roman" w:hAnsi="Times New Roman"/><w:sz w:val="24"/><w:szCs w:val="24"/></w:rPr><w:t>Fuente: Bello, V. (2015)</w:t></w:r></w:p><w:p><w:pPr><w:pStyle w:val="style0"/><w:ind w:firstLine="708" w:left="0" w:right="0"/></w:pPr><w:r><w:rPr><w:rFonts w:ascii="Times New Roman" w:hAnsi="Times New Roman"/><w:sz w:val="24"/><w:szCs w:val="24"/></w:rPr></w:r></w:p><w:p><w:pPr><w:pStyle w:val="style0"/><w:spacing w:line="360" w:lineRule="auto"/><w:jc w:val="both"/></w:pPr><w:r><w:rPr><w:rFonts w:ascii="Times New Roman" w:hAnsi="Times New Roman"/><w:sz w:val="24"/><w:szCs w:val="24"/></w:rPr><w:t xml:space="preserve">     </w:t></w:r><w:r><w:rPr><w:rFonts w:ascii="Times New Roman" w:hAnsi="Times New Roman"/><w:sz w:val="24"/><w:szCs w:val="24"/></w:rPr><w:t>Para el año 2010 la utilización de los activos para la generación de las ganancias no mejora respecto a lo observado en el año anterior (ver Gráfico 91). En el periodo Junio-Diciembre, el ritmo de la caída en el rendimiento sobre activos fue de 21%. Al obtenerse pérdidas netas sugiere que la utilización de los activos fijos no fue la adecuada para la generación de ganancias, ya q estas no fueron obtenidas en el periodo mencionado, esto basado en el Balance General al 31-12-2010 y Estado de Ganancias y Pérdidas del 01-01-2010 al 31-12-2010.</w:t></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sz w:val="24"/><w:szCs w:val="24"/></w:rPr></w:r></w:p><w:p><w:pPr><w:pStyle w:val="style0"/><w:spacing w:line="360" w:lineRule="auto"/><w:jc w:val="both"/></w:pPr><w:r><w:rPr><w:rFonts w:ascii="Times New Roman" w:hAnsi="Times New Roman"/><w:sz w:val="24"/><w:szCs w:val="24"/></w:rPr></w:r></w:p><w:p><w:pPr><w:pStyle w:val="style52"/><w:jc w:val="center"/></w:pPr><w:bookmarkStart w:id="266" w:name="_Toc432364996"/><w:r><w:rPr><w:rFonts w:ascii="Times New Roman" w:hAnsi="Times New Roman"/><w:b/><w:i w:val="false"/><w:color w:val="00000A"/><w:sz w:val="24"/></w:rPr><w:t xml:space="preserve">GRÁFICO . </w:t></w:r><w:bookmarkEnd w:id="266"/><w:r><w:rPr><w:rFonts w:ascii="Times New Roman" w:hAnsi="Times New Roman"/><w:i w:val="false"/><w:color w:val="00000A"/><w:sz w:val="24"/></w:rPr><w:t>Rendimiento sobre Activos 2010</w:t></w:r></w:p><w:p><w:pPr><w:pStyle w:val="style0"/><w:jc w:val="both"/></w:pPr><w:r><w:rPr><w:rFonts w:ascii="Times New Roman" w:hAnsi="Times New Roman"/><w:sz w:val="24"/><w:szCs w:val="24"/></w:rPr><w:t>Fuente: Bello, V. (2015)</w:t></w:r></w:p><w:p><w:pPr><w:pStyle w:val="style0"/><w:tabs><w:tab w:leader="none" w:pos="709" w:val="left"/></w:tabs><w:ind w:firstLine="708" w:left="0" w:right="0"/></w:pPr><w:r><w:rPr><w:rFonts w:ascii="Times New Roman" w:hAnsi="Times New Roman"/><w:sz w:val="24"/><w:szCs w:val="24"/></w:rPr></w:r></w:p><w:p><w:pPr><w:pStyle w:val="style0"/><w:tabs><w:tab w:leader="none" w:pos="709" w:val="left"/></w:tabs><w:spacing w:line="360" w:lineRule="auto"/><w:jc w:val="both"/></w:pPr><w:r><w:rPr><w:rFonts w:ascii="Times New Roman" w:hAnsi="Times New Roman"/><w:sz w:val="24"/><w:szCs w:val="24"/></w:rPr><w:t xml:space="preserve">     </w:t></w:r><w:r><w:rPr><w:rFonts w:ascii="Times New Roman" w:hAnsi="Times New Roman"/><w:sz w:val="24"/><w:szCs w:val="24"/></w:rPr><w:t xml:space="preserve">En el año 2011, el rendimiento sobre los activos reporta una mejora para el primer trimestre del año, siendo el rendimiento más alto en el año de 6% para el mes de Marzo (ver Gráfico 92), en base a información registrada en el Balance General al 31-12-2011 y Estado de Ganancias y Pérdidas del 01-01-2011 al 31-12-2011,  y en comparación al año 2010 en el cual se obtuvo un promedio desfavorable en el rendimiento, pero que mejora para este año, rectificando la utilización de los activos para la generación de utilidades. </w:t></w:r></w:p><w:p><w:pPr><w:pStyle w:val="style0"/><w:tabs><w:tab w:leader="none" w:pos="709" w:val="left"/></w:tabs><w:spacing w:line="360" w:lineRule="auto"/><w:jc w:val="both"/></w:pPr><w:r><w:rPr><w:rFonts w:ascii="Times New Roman" w:hAnsi="Times New Roman"/><w:sz w:val="24"/><w:szCs w:val="24"/></w:rPr></w:r></w:p><w:p><w:pPr><w:pStyle w:val="style0"/><w:tabs><w:tab w:leader="none" w:pos="709" w:val="left"/></w:tabs><w:spacing w:line="360" w:lineRule="auto"/><w:jc w:val="both"/></w:pPr><w:r><w:rPr><w:rFonts w:ascii="Times New Roman" w:hAnsi="Times New Roman"/><w:sz w:val="24"/><w:szCs w:val="24"/></w:rPr></w:r></w:p><w:p><w:pPr><w:pStyle w:val="style0"/><w:tabs><w:tab w:leader="none" w:pos="709" w:val="left"/></w:tabs><w:spacing w:line="360" w:lineRule="auto"/><w:jc w:val="both"/></w:pPr><w:r><w:rPr><w:rFonts w:ascii="Times New Roman" w:hAnsi="Times New Roman"/><w:sz w:val="24"/><w:szCs w:val="24"/></w:rPr></w:r></w:p><w:p><w:pPr><w:pStyle w:val="style0"/><w:tabs><w:tab w:leader="none" w:pos="709" w:val="left"/></w:tabs><w:spacing w:line="360" w:lineRule="auto"/><w:jc w:val="both"/></w:pPr><w:r><w:rPr><w:rFonts w:ascii="Times New Roman" w:hAnsi="Times New Roman"/><w:sz w:val="24"/><w:szCs w:val="24"/></w:rPr></w:r></w:p><w:p><w:pPr><w:pStyle w:val="style52"/><w:jc w:val="center"/></w:pPr><w:bookmarkStart w:id="267" w:name="_Toc432364997"/><w:r><w:rPr><w:rFonts w:ascii="Times New Roman" w:hAnsi="Times New Roman"/><w:b/><w:i w:val="false"/><w:color w:val="00000A"/><w:sz w:val="24"/></w:rPr><w:t xml:space="preserve">GRÁFICO . </w:t></w:r><w:bookmarkEnd w:id="267"/><w:r><w:rPr><w:rFonts w:ascii="Times New Roman" w:hAnsi="Times New Roman"/><w:i w:val="false"/><w:color w:val="00000A"/><w:sz w:val="24"/></w:rPr><w:t>Rendimiento sobre Activos 2011</w:t></w:r></w:p><w:p><w:pPr><w:pStyle w:val="style0"/><w:tabs><w:tab w:leader="none" w:pos="1146" w:val="left"/></w:tabs><w:ind w:hanging="0" w:left="720" w:right="0"/></w:pPr><w:r><w:rPr><w:rFonts w:ascii="Times New Roman" w:hAnsi="Times New Roman"/><w:sz w:val="24"/><w:szCs w:val="24"/></w:rPr><w:t>Fuente: Bello, V. (2015)</w:t></w:r></w:p><w:p><w:pPr><w:pStyle w:val="style0"/><w:tabs><w:tab w:leader="none" w:pos="709" w:val="left"/></w:tabs><w:ind w:firstLine="708" w:left="0" w:right="0"/></w:pPr><w:r><w:rPr><w:rFonts w:ascii="Times New Roman" w:hAnsi="Times New Roman"/><w:sz w:val="24"/><w:szCs w:val="24"/></w:rPr></w:r></w:p><w:p><w:pPr><w:pStyle w:val="style0"/><w:tabs><w:tab w:leader="none" w:pos="709" w:val="left"/></w:tabs><w:spacing w:line="360" w:lineRule="auto"/><w:jc w:val="both"/></w:pPr><w:r><w:rPr><w:rFonts w:ascii="Times New Roman" w:hAnsi="Times New Roman"/><w:sz w:val="24"/><w:szCs w:val="24"/></w:rPr><w:t xml:space="preserve">     </w:t></w:r><w:r><w:rPr><w:rFonts w:ascii="Times New Roman" w:hAnsi="Times New Roman"/><w:sz w:val="24"/><w:szCs w:val="24"/></w:rPr><w:t>La utilización de los activos para la generación de ganancias en el año 2012 no resultó ser la adecuada, ya que según los cálculos realizados en el periodo Junio-Diciembre la consecución del rendimiento no es estable, su tendencia no siempre es positiva a lo largo del periodo (ver Gráfico 93), en función al Balance General al 31-12-2012 y Estado de Ganancias y Pérdidas del 01-01-2012 al 31-12-2012. El máximo rendimiento obtenido en el año es de 3,65% en el mes de Julio lo que significa que por cada Bs. 100 de activos totales se obtiene Bs. 3,65 de utilidad neta.</w:t></w:r></w:p><w:p><w:pPr><w:pStyle w:val="style0"/><w:tabs><w:tab w:leader="none" w:pos="709" w:val="left"/></w:tabs></w:pPr><w:r><w:rPr><w:rFonts w:ascii="Times New Roman" w:hAnsi="Times New Roman"/><w:sz w:val="24"/><w:szCs w:val="24"/></w:rPr></w:r></w:p><w:p><w:pPr><w:pStyle w:val="style0"/><w:tabs><w:tab w:leader="none" w:pos="709" w:val="left"/></w:tabs></w:pPr><w:r><w:rPr><w:rFonts w:ascii="Times New Roman" w:hAnsi="Times New Roman"/><w:sz w:val="24"/><w:szCs w:val="24"/></w:rPr></w:r></w:p><w:p><w:pPr><w:pStyle w:val="style0"/><w:tabs><w:tab w:leader="none" w:pos="709" w:val="left"/></w:tabs></w:pPr><w:r><w:rPr><w:rFonts w:ascii="Times New Roman" w:hAnsi="Times New Roman"/><w:sz w:val="24"/><w:szCs w:val="24"/></w:rPr></w:r></w:p><w:p><w:pPr><w:pStyle w:val="style0"/><w:tabs><w:tab w:leader="none" w:pos="709" w:val="left"/></w:tabs></w:pPr><w:r><w:rPr><w:rFonts w:ascii="Times New Roman" w:hAnsi="Times New Roman"/><w:sz w:val="24"/><w:szCs w:val="24"/></w:rPr></w:r></w:p><w:p><w:pPr><w:pStyle w:val="style0"/><w:tabs><w:tab w:leader="none" w:pos="709" w:val="left"/></w:tabs></w:pPr><w:r><w:rPr><w:rFonts w:ascii="Times New Roman" w:hAnsi="Times New Roman"/><w:sz w:val="24"/><w:szCs w:val="24"/></w:rPr></w:r></w:p><w:p><w:pPr><w:pStyle w:val="style52"/><w:jc w:val="center"/></w:pPr><w:bookmarkStart w:id="268" w:name="_Toc432364998"/><w:r><w:rPr><w:rFonts w:ascii="Times New Roman" w:hAnsi="Times New Roman"/><w:b/><w:i w:val="false"/><w:color w:val="00000A"/><w:sz w:val="24"/></w:rPr><w:t xml:space="preserve">GRÁFICO . </w:t></w:r><w:bookmarkEnd w:id="268"/><w:r><w:rPr><w:rFonts w:ascii="Times New Roman" w:hAnsi="Times New Roman"/><w:i w:val="false"/><w:color w:val="00000A"/><w:sz w:val="24"/></w:rPr><w:t>Rendimiento sobre Activos 2012</w:t></w:r></w:p><w:p><w:pPr><w:pStyle w:val="style0"/><w:tabs><w:tab w:leader="none" w:pos="426" w:val="left"/></w:tabs></w:pPr><w:r><w:rPr><w:rFonts w:ascii="Times New Roman" w:hAnsi="Times New Roman"/><w:b/><w:sz w:val="24"/><w:szCs w:val="24"/><w:lang w:val="es-ES"/></w:rPr></w:r></w:p><w:p><w:pPr><w:pStyle w:val="style0"/><w:tabs><w:tab w:leader="none" w:pos="1146" w:val="left"/></w:tabs><w:ind w:hanging="0" w:left="720" w:right="0"/><w:jc w:val="both"/></w:pPr><w:r><w:rPr><w:rFonts w:ascii="Times New Roman" w:hAnsi="Times New Roman"/><w:sz w:val="24"/><w:szCs w:val="24"/></w:rPr><w:t>Fuente: Bello, V. (2015)</w:t></w:r></w:p><w:p><w:pPr><w:pStyle w:val="style0"/><w:tabs><w:tab w:leader="none" w:pos="426" w:val="left"/></w:tabs><w:spacing w:line="360" w:lineRule="auto"/><w:jc w:val="both"/></w:pPr><w:r><w:rPr><w:rFonts w:ascii="Times New Roman" w:hAnsi="Times New Roman"/><w:sz w:val="24"/><w:szCs w:val="24"/><w:lang w:val="es-ES"/></w:rPr></w:r></w:p><w:p><w:pPr><w:pStyle w:val="style0"/><w:tabs><w:tab w:leader="none" w:pos="426" w:val="left"/></w:tabs><w:spacing w:line="360" w:lineRule="auto"/><w:jc w:val="both"/></w:pPr><w:r><w:rPr><w:rFonts w:ascii="Times New Roman" w:hAnsi="Times New Roman"/><w:sz w:val="24"/><w:szCs w:val="24"/><w:lang w:val="es-ES"/></w:rPr><w:t xml:space="preserve">     </w:t></w:r><w:r><w:rPr><w:rFonts w:ascii="Times New Roman" w:hAnsi="Times New Roman"/><w:sz w:val="24"/><w:szCs w:val="24"/><w:lang w:val="es-ES"/></w:rPr><w:t xml:space="preserve">En el año 2013 el rendimiento sobre los activos, no reporta una mejora respecto a años anteriores. En particular en el mes de Febrero se logra un rendimiento de 4,43%. Para el periodo de Abril a Diciembre del mismo año las perdidas obtenidas vienen demostradas por una baja utilización de los activos totales (ver Gráfico 94), de acuerdo al Balance General al 31-12-2013 y Estado de Ganancias y Pérdidas del 01-01-2013 al 31-12-2013, los cuales vienen en franco crecimiento desde años anteriores. </w:t></w:r></w:p><w:p><w:pPr><w:pStyle w:val="style0"/><w:tabs><w:tab w:leader="none" w:pos="709" w:val="left"/></w:tabs><w:ind w:firstLine="708" w:left="0" w:right="0"/></w:pPr><w:r><w:rPr><w:rFonts w:ascii="Times New Roman" w:hAnsi="Times New Roman"/><w:sz w:val="24"/><w:szCs w:val="24"/></w:rPr></w:r></w:p><w:p><w:pPr><w:pStyle w:val="style0"/><w:tabs><w:tab w:leader="none" w:pos="709" w:val="left"/></w:tabs><w:ind w:firstLine="708" w:left="0" w:right="0"/></w:pPr><w:r><w:rPr><w:rFonts w:ascii="Times New Roman" w:hAnsi="Times New Roman"/><w:sz w:val="24"/><w:szCs w:val="24"/></w:rPr></w:r></w:p><w:p><w:pPr><w:pStyle w:val="style0"/><w:tabs><w:tab w:leader="none" w:pos="709" w:val="left"/></w:tabs><w:ind w:firstLine="708" w:left="0" w:right="0"/></w:pPr><w:r><w:rPr><w:rFonts w:ascii="Times New Roman" w:hAnsi="Times New Roman"/><w:sz w:val="24"/><w:szCs w:val="24"/></w:rPr></w:r></w:p><w:p><w:pPr><w:pStyle w:val="style0"/><w:tabs><w:tab w:leader="none" w:pos="709" w:val="left"/></w:tabs><w:ind w:firstLine="708" w:left="0" w:right="0"/></w:pPr><w:r><w:rPr><w:rFonts w:ascii="Times New Roman" w:hAnsi="Times New Roman"/><w:sz w:val="24"/><w:szCs w:val="24"/></w:rPr></w:r></w:p><w:p><w:pPr><w:pStyle w:val="style0"/><w:tabs><w:tab w:leader="none" w:pos="709" w:val="left"/></w:tabs></w:pPr><w:r><w:rPr><w:rFonts w:ascii="Times New Roman" w:hAnsi="Times New Roman"/><w:sz w:val="24"/><w:szCs w:val="24"/></w:rPr></w:r></w:p><w:p><w:pPr><w:pStyle w:val="style0"/><w:tabs><w:tab w:leader="none" w:pos="709" w:val="left"/></w:tabs></w:pPr><w:r><w:rPr><w:rFonts w:ascii="Times New Roman" w:hAnsi="Times New Roman"/><w:sz w:val="24"/><w:szCs w:val="24"/></w:rPr></w:r></w:p><w:p><w:pPr><w:pStyle w:val="style52"/><w:jc w:val="center"/></w:pPr><w:bookmarkStart w:id="269" w:name="_Toc432364999"/><w:r><w:rPr><w:rFonts w:ascii="Times New Roman" w:hAnsi="Times New Roman"/><w:b/><w:i w:val="false"/><w:color w:val="00000A"/><w:sz w:val="24"/></w:rPr><w:t xml:space="preserve">GRÁFICO . </w:t></w:r><w:bookmarkEnd w:id="269"/><w:r><w:rPr><w:rFonts w:ascii="Times New Roman" w:hAnsi="Times New Roman"/><w:i w:val="false"/><w:color w:val="00000A"/><w:sz w:val="24"/></w:rPr><w:t>Rendimiento sobre Activos 2013</w:t></w:r></w:p><w:p><w:pPr><w:pStyle w:val="style0"/><w:tabs><w:tab w:leader="none" w:pos="1146" w:val="left"/></w:tabs><w:ind w:hanging="0" w:left="720" w:right="0"/></w:pPr><w:r><w:rPr><w:rFonts w:ascii="Times New Roman" w:hAnsi="Times New Roman"/><w:sz w:val="24"/><w:szCs w:val="24"/></w:rPr><w:t>Fuente: Bello, V. (2015)</w:t></w:r></w:p><w:p><w:pPr><w:pStyle w:val="style0"/><w:tabs><w:tab w:leader="none" w:pos="1146" w:val="left"/></w:tabs><w:ind w:hanging="0" w:left="720" w:right="0"/><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La tendencia en el año 2014 respecto a la utilización de los activos para la generación de ganancias, reporta una leve mejora sin alcanzar resultados positivos a lo largo del año (Grafico 95), de acuerdo a lo registrado en el Balance General al 31-12-2014 y Estado de Ganancias y Pérdidas del 01-01-2014 al 31-12-2014. Sin embargo, una rectificación en el uso de los activos a través de una planificación financiera podría conllevar al logro de utilidades en los ejercicios posteriores. </w:t></w:r></w:p><w:p><w:pPr><w:pStyle w:val="style0"/><w:tabs><w:tab w:leader="none" w:pos="1146" w:val="left"/></w:tabs><w:ind w:hanging="0" w:left="720" w:right="0"/><w:jc w:val="both"/></w:pPr><w:r><w:rPr><w:rFonts w:ascii="Times New Roman" w:hAnsi="Times New Roman"/><w:sz w:val="24"/><w:szCs w:val="24"/></w:rPr></w:r></w:p><w:p><w:pPr><w:pStyle w:val="style0"/><w:tabs><w:tab w:leader="none" w:pos="1146" w:val="left"/></w:tabs><w:ind w:hanging="0" w:left="720" w:right="0"/><w:jc w:val="both"/></w:pPr><w:r><w:rPr><w:rFonts w:ascii="Times New Roman" w:hAnsi="Times New Roman"/><w:sz w:val="24"/><w:szCs w:val="24"/></w:rPr></w:r></w:p><w:p><w:pPr><w:pStyle w:val="style0"/><w:tabs><w:tab w:leader="none" w:pos="1146" w:val="left"/></w:tabs><w:ind w:hanging="0" w:left="720" w:right="0"/><w:jc w:val="both"/></w:pPr><w:r><w:rPr><w:rFonts w:ascii="Times New Roman" w:hAnsi="Times New Roman"/><w:sz w:val="24"/><w:szCs w:val="24"/></w:rPr></w:r></w:p><w:p><w:pPr><w:pStyle w:val="style0"/><w:tabs><w:tab w:leader="none" w:pos="1146" w:val="left"/></w:tabs><w:ind w:hanging="0" w:left="720" w:right="0"/><w:jc w:val="both"/></w:pPr><w:r><w:rPr><w:rFonts w:ascii="Times New Roman" w:hAnsi="Times New Roman"/><w:sz w:val="24"/><w:szCs w:val="24"/></w:rPr></w:r></w:p><w:p><w:pPr><w:pStyle w:val="style0"/><w:tabs><w:tab w:leader="none" w:pos="1146" w:val="left"/></w:tabs><w:ind w:hanging="0" w:left="720" w:right="0"/><w:jc w:val="both"/></w:pPr><w:r><w:rPr><w:rFonts w:ascii="Times New Roman" w:hAnsi="Times New Roman"/><w:sz w:val="24"/><w:szCs w:val="24"/></w:rPr></w:r></w:p><w:p><w:pPr><w:pStyle w:val="style0"/><w:tabs><w:tab w:leader="none" w:pos="426" w:val="left"/></w:tabs><w:jc w:val="both"/></w:pPr><w:r><w:rPr><w:rFonts w:ascii="Times New Roman" w:hAnsi="Times New Roman"/><w:sz w:val="24"/><w:szCs w:val="24"/></w:rPr></w:r></w:p><w:p><w:pPr><w:pStyle w:val="style52"/><w:jc w:val="center"/></w:pPr><w:bookmarkStart w:id="270" w:name="_Toc432365000"/><w:r><w:rPr><w:rFonts w:ascii="Times New Roman" w:hAnsi="Times New Roman"/><w:b/><w:i w:val="false"/><w:color w:val="00000A"/><w:sz w:val="24"/></w:rPr><w:t xml:space="preserve">GRÁFICO . </w:t></w:r><w:bookmarkEnd w:id="270"/><w:r><w:rPr><w:rFonts w:ascii="Times New Roman" w:hAnsi="Times New Roman"/><w:i w:val="false"/><w:color w:val="00000A"/><w:sz w:val="24"/></w:rPr><w:t>Rendimiento sobre Activos 2014</w:t></w:r></w:p><w:p><w:pPr><w:pStyle w:val="style0"/><w:tabs><w:tab w:leader="none" w:pos="1146" w:val="left"/></w:tabs><w:ind w:hanging="0" w:left="720" w:right="0"/></w:pPr><w:r><w:rPr><w:rFonts w:ascii="Times New Roman" w:hAnsi="Times New Roman"/><w:sz w:val="24"/><w:szCs w:val="24"/></w:rPr><w:t>Fuente: Bello, V. (2015)</w:t></w:r></w:p><w:p><w:pPr><w:pStyle w:val="style0"/><w:tabs><w:tab w:leader="none" w:pos="1146" w:val="left"/></w:tabs><w:ind w:hanging="0" w:left="720" w:right="0"/><w:jc w:val="both"/></w:pPr><w:r><w:rPr><w:rFonts w:ascii="Times New Roman" w:hAnsi="Times New Roman"/><w:sz w:val="24"/><w:szCs w:val="24"/></w:rPr></w:r></w:p><w:p><w:pPr><w:pStyle w:val="style0"/><w:numPr><w:ilvl w:val="0"/><w:numId w:val="18"/></w:numPr><w:tabs><w:tab w:leader="none" w:pos="426" w:val="left"/></w:tabs><w:spacing w:after="720" w:before="0" w:line="100" w:lineRule="atLeast"/><w:ind w:hanging="0" w:left="0" w:right="0"/><w:jc w:val="both"/></w:pPr><w:r><w:rPr><w:rFonts w:ascii="Times New Roman" w:hAnsi="Times New Roman"/><w:sz w:val="24"/><w:szCs w:val="24"/><w:lang w:val="es-ES"/></w:rPr><w:t>Rendimiento sobre el Patrimonio</w:t></w:r></w:p><w:p><w:pPr><w:pStyle w:val="style0"/><w:tabs><w:tab w:leader="none" w:pos="426" w:val="left"/></w:tabs><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En el año 2008 hay muy poco variabilidad en los valores arrojados mes a mes del rendimiento respecto a su promedio, por lo que supone una estabilidad a lo largo del año, tal y como se visualiza en el Grafico 96, basado en el Balance General al 31-12-2008 y Estado de Ganancias y Pérdidas del 01-01-2008 al 31-12-2008. A excepción del mes de Noviembre en el cual la caída en la utilidad neta, reporta una baja en el rendimiento a -1,49%, lo que significa que por cada Bs. 100 invertido por los accionistas se pierde Bs. 1,49 de utilidad.</w:t></w:r></w:p><w:p><w:pPr><w:pStyle w:val="style0"/><w:tabs><w:tab w:leader="none" w:pos="1146" w:val="left"/></w:tabs><w:ind w:hanging="0" w:left="720" w:right="0"/><w:jc w:val="both"/></w:pPr><w:r><w:rPr><w:rFonts w:ascii="Times New Roman" w:hAnsi="Times New Roman"/><w:sz w:val="24"/><w:szCs w:val="24"/><w:lang w:val="es-ES"/></w:rPr></w:r></w:p><w:p><w:pPr><w:pStyle w:val="style0"/><w:tabs><w:tab w:leader="none" w:pos="426" w:val="left"/></w:tabs><w:jc w:val="both"/></w:pPr><w:r><w:rPr><w:rFonts w:ascii="Times New Roman" w:hAnsi="Times New Roman"/><w:sz w:val="24"/><w:szCs w:val="24"/><w:lang w:val="es-ES"/></w:rPr></w:r></w:p><w:p><w:pPr><w:pStyle w:val="style0"/><w:tabs><w:tab w:leader="none" w:pos="426" w:val="left"/></w:tabs><w:jc w:val="both"/></w:pPr><w:r><w:rPr><w:rFonts w:ascii="Times New Roman" w:hAnsi="Times New Roman"/><w:sz w:val="24"/><w:szCs w:val="24"/><w:lang w:val="es-ES"/></w:rPr></w:r></w:p><w:p><w:pPr><w:pStyle w:val="style52"/><w:jc w:val="center"/></w:pPr><w:bookmarkStart w:id="271" w:name="_Toc432365001"/><w:r><w:rPr><w:rFonts w:ascii="Times New Roman" w:hAnsi="Times New Roman"/><w:b/><w:i w:val="false"/><w:color w:val="00000A"/><w:sz w:val="24"/></w:rPr><w:t xml:space="preserve">GRÁFICO . </w:t></w:r><w:bookmarkEnd w:id="271"/><w:r><w:rPr><w:rFonts w:ascii="Times New Roman" w:hAnsi="Times New Roman"/><w:i w:val="false"/><w:color w:val="00000A"/><w:sz w:val="24"/></w:rPr><w:t>Rendimiento sobre Patrimonio (ROE) 2008</w:t></w:r></w:p><w:p><w:pPr><w:pStyle w:val="style0"/><w:tabs><w:tab w:leader="none" w:pos="426" w:val="left"/></w:tabs><w:jc w:val="both"/></w:pPr><w:r><w:rPr><w:rFonts w:ascii="Times New Roman" w:hAnsi="Times New Roman"/><w:sz w:val="24"/><w:szCs w:val="24"/><w:lang w:val="es-ES"/></w:rPr></w:r></w:p><w:p><w:pPr><w:pStyle w:val="style0"/><w:tabs><w:tab w:leader="none" w:pos="710" w:val="left"/></w:tabs><w:ind w:hanging="0" w:left="284" w:right="0"/><w:jc w:val="both"/></w:pPr><w:r><w:rPr><w:rFonts w:ascii="Times New Roman" w:hAnsi="Times New Roman"/><w:sz w:val="24"/><w:szCs w:val="24"/></w:rPr></w:r></w:p><w:p><w:pPr><w:pStyle w:val="style0"/><w:tabs><w:tab w:leader="none" w:pos="426" w:val="left"/></w:tabs><w:jc w:val="both"/></w:pPr><w:r><w:rPr><w:rFonts w:ascii="Times New Roman" w:hAnsi="Times New Roman"/><w:sz w:val="24"/><w:szCs w:val="24"/></w:rPr><w:t>Fuente: Bello, V. (2015)</w:t></w:r></w:p><w:p><w:pPr><w:pStyle w:val="style0"/><w:tabs><w:tab w:leader="none" w:pos="2190" w:val="left"/></w:tabs><w:spacing w:line="360" w:lineRule="auto"/><w:jc w:val="both"/></w:pPr><w:r><w:rPr><w:rFonts w:ascii="Times New Roman" w:hAnsi="Times New Roman"/><w:sz w:val="24"/><w:szCs w:val="24"/></w:rPr></w:r></w:p><w:p><w:pPr><w:pStyle w:val="style0"/><w:tabs><w:tab w:leader="none" w:pos="2190" w:val="left"/></w:tabs><w:spacing w:line="360" w:lineRule="auto"/><w:jc w:val="both"/></w:pPr><w:r><w:rPr><w:rFonts w:ascii="Times New Roman" w:hAnsi="Times New Roman"/><w:sz w:val="24"/><w:szCs w:val="24"/></w:rPr><w:t xml:space="preserve">     </w:t></w:r><w:r><w:rPr><w:rFonts w:ascii="Times New Roman" w:hAnsi="Times New Roman"/><w:sz w:val="24"/><w:szCs w:val="24"/></w:rPr><w:t>Para el año 2009 hay un crecimiento sostenido para el periodo que va de Enero-Agosto obteniéndose un máximo de rendimiento sobre el patrimonio de 17,04%, pero notablemente inferior al rendimiento del año anterior cuyo máximo alcanzado fue de 51,64% (Grafico 97), de acuerdo a información reportada en el Balance General al 31-12-2009 y Estado de Ganancias y Pérdidas del 01-01-2009 al 31-12-2009. Sin embargo, logra mantenerse positivo a lo largo del año, lo que quiere decir que sus esfuerzos para obtener ganancias positivas por cada bolívar invertido por los accionistas son notables a través de este indicador.</w:t></w:r></w:p><w:p><w:pPr><w:pStyle w:val="style0"/><w:tabs><w:tab w:leader="none" w:pos="2190" w:val="left"/></w:tabs></w:pPr><w:r><w:rPr><w:rFonts w:ascii="Times New Roman" w:hAnsi="Times New Roman"/><w:sz w:val="24"/><w:szCs w:val="24"/></w:rPr></w:r></w:p><w:p><w:pPr><w:pStyle w:val="style0"/><w:tabs><w:tab w:leader="none" w:pos="2190" w:val="left"/></w:tabs></w:pPr><w:r><w:rPr><w:rFonts w:ascii="Times New Roman" w:hAnsi="Times New Roman"/><w:sz w:val="24"/><w:szCs w:val="24"/></w:rPr></w:r></w:p><w:p><w:pPr><w:pStyle w:val="style0"/><w:tabs><w:tab w:leader="none" w:pos="2190" w:val="left"/></w:tabs></w:pPr><w:r><w:rPr><w:rFonts w:ascii="Times New Roman" w:hAnsi="Times New Roman"/><w:sz w:val="24"/><w:szCs w:val="24"/></w:rPr></w:r></w:p><w:p><w:pPr><w:pStyle w:val="style0"/><w:tabs><w:tab w:leader="none" w:pos="2190" w:val="left"/></w:tabs></w:pPr><w:r><w:rPr><w:rFonts w:ascii="Times New Roman" w:hAnsi="Times New Roman"/><w:sz w:val="24"/><w:szCs w:val="24"/></w:rPr></w:r></w:p><w:p><w:pPr><w:pStyle w:val="style52"/><w:jc w:val="center"/></w:pPr><w:bookmarkStart w:id="272" w:name="_Toc432365002"/><w:r><w:rPr><w:rFonts w:ascii="Times New Roman" w:hAnsi="Times New Roman"/><w:b/><w:i w:val="false"/><w:color w:val="00000A"/><w:sz w:val="24"/></w:rPr><w:t xml:space="preserve">GRÁFICO . </w:t></w:r><w:bookmarkEnd w:id="272"/><w:r><w:rPr><w:rFonts w:ascii="Times New Roman" w:hAnsi="Times New Roman"/><w:i w:val="false"/><w:color w:val="00000A"/><w:sz w:val="24"/></w:rPr><w:t>Rendimiento sobre Patrimonio (ROE) 2009</w:t></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both"/></w:pPr><w:r><w:rPr><w:rFonts w:ascii="Times New Roman" w:hAnsi="Times New Roman"/><w:sz w:val="24"/><w:szCs w:val="24"/></w:rPr><w:t>Fuente: Bello, V. (2015)</w:t></w:r></w:p><w:p><w:pPr><w:pStyle w:val="style0"/><w:tabs><w:tab w:leader="none" w:pos="2190" w:val="left"/></w:tabs><w:spacing w:line="360" w:lineRule="auto"/><w:jc w:val="both"/></w:pPr><w:r><w:rPr><w:rFonts w:ascii="Times New Roman" w:hAnsi="Times New Roman"/><w:sz w:val="24"/><w:szCs w:val="24"/></w:rPr></w:r></w:p><w:p><w:pPr><w:pStyle w:val="style0"/><w:tabs><w:tab w:leader="none" w:pos="2190" w:val="left"/></w:tabs><w:spacing w:line="360" w:lineRule="auto"/><w:jc w:val="both"/></w:pPr><w:r><w:rPr><w:rFonts w:ascii="Times New Roman" w:hAnsi="Times New Roman"/><w:sz w:val="24"/><w:szCs w:val="24"/></w:rPr><w:t xml:space="preserve">     </w:t></w:r><w:r><w:rPr><w:rFonts w:ascii="Times New Roman" w:hAnsi="Times New Roman"/><w:sz w:val="24"/><w:szCs w:val="24"/></w:rPr><w:t xml:space="preserve">Evaluación diferente la que se obtiene para el año 2010, en la que se visualiza mayor variabilidad en los valores del rendimiento, de forma más pronunciada para el tercer y cuarto trimestre del año (Grafico 98), según el Balance General al 31-12-2010 y Estado de Ganancias y Pérdidas del 01-01-2010 al 31-12-2010. Donde, nuevamente se obtienen rendimientos negativos, por lo que por cada bolívar invertido por los accionistas se obtienen cada vez más bolívares por pérdida neta. </w:t></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52"/><w:jc w:val="center"/></w:pPr><w:bookmarkStart w:id="273" w:name="_Toc432365003"/><w:r><w:rPr><w:rFonts w:ascii="Times New Roman" w:hAnsi="Times New Roman"/><w:b/><w:i w:val="false"/><w:color w:val="00000A"/><w:sz w:val="24"/></w:rPr><w:t xml:space="preserve">GRÁFICO . </w:t></w:r><w:bookmarkEnd w:id="273"/><w:r><w:rPr><w:rFonts w:ascii="Times New Roman" w:hAnsi="Times New Roman"/><w:i w:val="false"/><w:color w:val="00000A"/><w:sz w:val="24"/></w:rPr><w:t>Rendimiento sobre Patrimonio (ROE) 2010</w:t></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both"/></w:pPr><w:r><w:rPr><w:rFonts w:ascii="Times New Roman" w:hAnsi="Times New Roman"/><w:sz w:val="24"/><w:szCs w:val="24"/></w:rPr><w:t>Fuente: Bello, V. (2015)</w:t></w:r></w:p><w:p><w:pPr><w:pStyle w:val="style0"/><w:tabs><w:tab w:leader="none" w:pos="2190" w:val="left"/></w:tabs><w:jc w:val="both"/></w:pPr><w:r><w:rPr><w:rFonts w:ascii="Times New Roman" w:hAnsi="Times New Roman"/><w:sz w:val="24"/><w:szCs w:val="24"/></w:rPr></w:r></w:p><w:p><w:pPr><w:pStyle w:val="style0"/><w:tabs><w:tab w:leader="none" w:pos="2190" w:val="left"/></w:tabs><w:spacing w:line="360" w:lineRule="auto"/><w:jc w:val="both"/></w:pPr><w:r><w:rPr><w:rFonts w:ascii="Times New Roman" w:hAnsi="Times New Roman"/><w:sz w:val="24"/><w:szCs w:val="24"/></w:rPr><w:t xml:space="preserve">     </w:t></w:r><w:r><w:rPr><w:rFonts w:ascii="Times New Roman" w:hAnsi="Times New Roman"/><w:sz w:val="24"/><w:szCs w:val="24"/></w:rPr><w:t>Situación similar ocurre en el año 2011, en el que se percibe variabilidad entre los valores del rendimiento, a diferencia que a partir del mes de Julio hay una recuperación considerable en dicho indicador, alcanzando un máximo de 12,56%, lo que significa que por cada Bs. 100 invertido de los accionistas se obtiene Bs. 12,56 de utilidad neta (Grafico 99), de acuerdo a lo reflejado en el Balance General al 31-12-2011 y Estado de Ganancias y Pérdidas del 01-01-2011 al 31-12-2011.</w:t></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pPr><w:r><w:rPr><w:rFonts w:ascii="Times New Roman" w:hAnsi="Times New Roman"/><w:b/><w:sz w:val="24"/><w:szCs w:val="24"/><w:lang w:val="es-ES"/></w:rPr></w:r></w:p><w:p><w:pPr><w:pStyle w:val="style52"/><w:jc w:val="center"/></w:pPr><w:bookmarkStart w:id="274" w:name="_Toc432365004"/><w:r><w:rPr><w:rFonts w:ascii="Times New Roman" w:hAnsi="Times New Roman"/><w:b/><w:i w:val="false"/><w:color w:val="00000A"/><w:sz w:val="24"/></w:rPr><w:t xml:space="preserve">GRÁFICO . </w:t></w:r><w:bookmarkEnd w:id="274"/><w:r><w:rPr><w:rFonts w:ascii="Times New Roman" w:hAnsi="Times New Roman"/><w:i w:val="false"/><w:color w:val="00000A"/><w:sz w:val="24"/></w:rPr><w:t>Rendimiento sobre Patrimonio (ROE) 2011</w:t></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both"/></w:pPr><w:r><w:rPr><w:rFonts w:ascii="Times New Roman" w:hAnsi="Times New Roman"/><w:sz w:val="24"/><w:szCs w:val="24"/></w:rPr><w:t>Fuente: Bello, V. (2015)</w:t></w:r></w:p><w:p><w:pPr><w:pStyle w:val="style0"/><w:tabs><w:tab w:leader="none" w:pos="2190" w:val="left"/></w:tabs><w:spacing w:line="360" w:lineRule="auto"/><w:jc w:val="both"/></w:pPr><w:r><w:rPr><w:rFonts w:ascii="Times New Roman" w:hAnsi="Times New Roman"/><w:sz w:val="24"/><w:szCs w:val="24"/></w:rPr><w:t xml:space="preserve">     </w:t></w:r></w:p><w:p><w:pPr><w:pStyle w:val="style0"/><w:tabs><w:tab w:leader="none" w:pos="2190" w:val="left"/></w:tabs><w:spacing w:line="360" w:lineRule="auto"/><w:jc w:val="both"/></w:pPr><w:r><w:rPr><w:rFonts w:ascii="Times New Roman" w:hAnsi="Times New Roman"/><w:sz w:val="24"/><w:szCs w:val="24"/></w:rPr><w:t xml:space="preserve">     </w:t></w:r><w:r><w:rPr><w:rFonts w:ascii="Times New Roman" w:hAnsi="Times New Roman"/><w:sz w:val="24"/><w:szCs w:val="24"/></w:rPr><w:t>Para el año 2012 la mayor variabilidad se observa para el 2do. Semestre del año, alcanzándose un máximo de rentabilidad positiva en Julio de 16,42% y un máximo de rentabilidad negativa de 17,68% para el mes de Diciembre (Grafico 100), en base al Balance General al 31-12-2012 y Estado de Ganancias y Pérdidas del 01-01-2012 al 31-12-2012.  Por lo que la empresa no logra una estabilidad en función de cada Bs. Invertido para la consecución de ganancias positivas.</w:t></w:r></w:p><w:p><w:pPr><w:pStyle w:val="style0"/><w:tabs><w:tab w:leader="none" w:pos="2190" w:val="left"/></w:tabs><w:spacing w:line="360" w:lineRule="auto"/><w:jc w:val="both"/></w:pPr><w:r><w:rPr><w:rFonts w:ascii="Times New Roman" w:hAnsi="Times New Roman"/><w:sz w:val="24"/><w:szCs w:val="24"/></w:rPr></w:r></w:p><w:p><w:pPr><w:pStyle w:val="style0"/><w:tabs><w:tab w:leader="none" w:pos="2190" w:val="left"/></w:tabs><w:spacing w:line="360" w:lineRule="auto"/><w:jc w:val="both"/></w:pPr><w:r><w:rPr><w:rFonts w:ascii="Times New Roman" w:hAnsi="Times New Roman"/><w:sz w:val="24"/><w:szCs w:val="24"/></w:rPr></w:r></w:p><w:p><w:pPr><w:pStyle w:val="style0"/><w:tabs><w:tab w:leader="none" w:pos="2190" w:val="left"/></w:tabs><w:spacing w:line="360" w:lineRule="auto"/><w:jc w:val="both"/></w:pPr><w:r><w:rPr><w:rFonts w:ascii="Times New Roman" w:hAnsi="Times New Roman"/><w:sz w:val="24"/><w:szCs w:val="24"/></w:rPr></w:r></w:p><w:p><w:pPr><w:pStyle w:val="style0"/><w:tabs><w:tab w:leader="none" w:pos="2190" w:val="left"/></w:tabs><w:spacing w:line="360" w:lineRule="auto"/><w:jc w:val="both"/></w:pPr><w:r><w:rPr><w:rFonts w:ascii="Times New Roman" w:hAnsi="Times New Roman"/><w:sz w:val="24"/><w:szCs w:val="24"/></w:rPr></w:r></w:p><w:p><w:pPr><w:pStyle w:val="style0"/><w:tabs><w:tab w:leader="none" w:pos="2190" w:val="left"/></w:tabs><w:spacing w:line="360" w:lineRule="auto"/><w:jc w:val="both"/></w:pPr><w:r><w:rPr><w:rFonts w:ascii="Times New Roman" w:hAnsi="Times New Roman"/><w:sz w:val="24"/><w:szCs w:val="24"/></w:rPr></w:r></w:p><w:p><w:pPr><w:pStyle w:val="style52"/><w:jc w:val="center"/></w:pPr><w:bookmarkStart w:id="275" w:name="_Toc432365005"/><w:r><w:rPr><w:rFonts w:ascii="Times New Roman" w:hAnsi="Times New Roman"/><w:b/><w:i w:val="false"/><w:color w:val="00000A"/><w:sz w:val="24"/></w:rPr><w:t xml:space="preserve">GRÁFICO . </w:t></w:r><w:bookmarkEnd w:id="275"/><w:r><w:rPr><w:rFonts w:ascii="Times New Roman" w:hAnsi="Times New Roman"/><w:i w:val="false"/><w:color w:val="00000A"/><w:sz w:val="24"/></w:rPr><w:t>Rendimiento sobre Patrimonio (ROE) 2012</w:t></w:r></w:p><w:p><w:pPr><w:pStyle w:val="style0"/><w:tabs><w:tab w:leader="none" w:pos="2190" w:val="left"/></w:tabs><w:jc w:val="center"/></w:pPr><w:r><w:rPr><w:rFonts w:ascii="Times New Roman" w:hAnsi="Times New Roman"/><w:sz w:val="24"/><w:szCs w:val="24"/></w:rPr></w:r></w:p><w:p><w:pPr><w:pStyle w:val="style0"/><w:tabs><w:tab w:leader="none" w:pos="2190" w:val="left"/></w:tabs><w:jc w:val="center"/></w:pPr><w:r><w:rPr><w:rFonts w:ascii="Times New Roman" w:hAnsi="Times New Roman"/><w:sz w:val="24"/><w:szCs w:val="24"/></w:rPr></w:r></w:p><w:p><w:pPr><w:pStyle w:val="style0"/><w:tabs><w:tab w:leader="none" w:pos="2190" w:val="left"/></w:tabs><w:jc w:val="center"/></w:pPr><w:r><w:rPr><w:rFonts w:ascii="Times New Roman" w:hAnsi="Times New Roman"/><w:sz w:val="24"/><w:szCs w:val="24"/></w:rPr></w:r></w:p><w:p><w:pPr><w:pStyle w:val="style0"/><w:tabs><w:tab w:leader="none" w:pos="2190" w:val="left"/></w:tabs><w:jc w:val="center"/></w:pPr><w:r><w:rPr><w:rFonts w:ascii="Times New Roman" w:hAnsi="Times New Roman"/><w:sz w:val="24"/><w:szCs w:val="24"/></w:rPr></w:r></w:p><w:p><w:pPr><w:pStyle w:val="style0"/><w:tabs><w:tab w:leader="none" w:pos="2190" w:val="left"/></w:tabs><w:jc w:val="both"/></w:pPr><w:r><w:rPr><w:rFonts w:ascii="Times New Roman" w:hAnsi="Times New Roman"/><w:sz w:val="24"/><w:szCs w:val="24"/></w:rPr><w:t>Fuente: Bello, V. (2015)</w:t></w:r></w:p><w:p><w:pPr><w:pStyle w:val="style0"/><w:tabs><w:tab w:leader="none" w:pos="2190" w:val="left"/></w:tabs><w:spacing w:line="360" w:lineRule="auto"/><w:jc w:val="both"/></w:pPr><w:r><w:rPr><w:rFonts w:ascii="Times New Roman" w:hAnsi="Times New Roman"/><w:sz w:val="24"/><w:szCs w:val="24"/></w:rPr></w:r></w:p><w:p><w:pPr><w:pStyle w:val="style0"/><w:tabs><w:tab w:leader="none" w:pos="2190" w:val="left"/></w:tabs><w:spacing w:line="360" w:lineRule="auto"/><w:jc w:val="both"/></w:pPr><w:r><w:rPr><w:rFonts w:ascii="Times New Roman" w:hAnsi="Times New Roman"/><w:sz w:val="24"/><w:szCs w:val="24"/></w:rPr><w:t xml:space="preserve">     </w:t></w:r><w:r><w:rPr><w:rFonts w:ascii="Times New Roman" w:hAnsi="Times New Roman"/><w:sz w:val="24"/><w:szCs w:val="24"/></w:rPr><w:t xml:space="preserve">Para el año 2013, el comportamiento del rendimiento sobre el patrimonio es similar al rendimiento sobre los activos (ver Gráfico 101), de acuerdo al Balance General al 31-12-2013 y Estado de Ganancias y Pérdidas del 01-01-2013 al 31-12-2013.  Esto es explicado a que la generación de ganancias no se logra por una falta en el uso eficiente de los recursos a nivel de activos y por ende de inversión en la empresa. </w:t></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52"/><w:jc w:val="center"/></w:pPr><w:bookmarkStart w:id="276" w:name="_Toc432365006"/><w:r><w:rPr><w:rFonts w:ascii="Times New Roman" w:hAnsi="Times New Roman"/><w:b/><w:i w:val="false"/><w:color w:val="00000A"/><w:sz w:val="24"/></w:rPr><w:t xml:space="preserve">GRÁFICO . </w:t></w:r><w:bookmarkEnd w:id="276"/><w:r><w:rPr><w:rFonts w:ascii="Times New Roman" w:hAnsi="Times New Roman"/><w:i w:val="false"/><w:color w:val="00000A"/><w:sz w:val="24"/></w:rPr><w:t>Rendimiento sobre Patrimonio (ROE) 2013</w:t></w:r></w:p><w:p><w:pPr><w:pStyle w:val="style0"/><w:tabs><w:tab w:leader="none" w:pos="2190" w:val="left"/></w:tabs><w:jc w:val="center"/></w:pPr><w:r><w:rPr><w:rFonts w:ascii="Times New Roman" w:hAnsi="Times New Roman"/><w:b/><w:sz w:val="24"/><w:szCs w:val="24"/><w:lang w:val="es-ES"/></w:rPr></w:r></w:p><w:p><w:pPr><w:pStyle w:val="style0"/><w:tabs><w:tab w:leader="none" w:pos="2190" w:val="left"/></w:tabs><w:jc w:val="both"/></w:pPr><w:r><w:rPr><w:rFonts w:ascii="Times New Roman" w:hAnsi="Times New Roman"/><w:sz w:val="24"/><w:szCs w:val="24"/></w:rPr><w:t>Fuente: Bello, V. (2015)</w:t></w:r></w:p><w:p><w:pPr><w:pStyle w:val="style0"/><w:tabs><w:tab w:leader="none" w:pos="2190" w:val="left"/></w:tabs><w:jc w:val="center"/></w:pPr><w:r><w:rPr><w:rFonts w:ascii="Times New Roman" w:hAnsi="Times New Roman"/><w:b/><w:sz w:val="24"/><w:szCs w:val="24"/><w:lang w:val="es-ES"/></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La tendencia en el año 2014 respecto a la inversión de los accionistas para la generación de ganancias, reporta una leve mejora sin alcanzar resultados positivos a lo largo del año (Grafico 102), tal y como se visualiza en los resultados del Balance General al 31-12-2014 y Estado de Ganancias y Pérdidas del 01-01-2014 al 31-12-2014. Sin embargo, una rectificación en el uso de los mismos a través de una planificación financiera podría conllevar al logro de utilidades en los ejercicios posteriores. </w:t></w:r></w:p><w:p><w:pPr><w:pStyle w:val="style0"/><w:tabs><w:tab w:leader="none" w:pos="426" w:val="left"/></w:tabs><w:jc w:val="both"/></w:pPr><w:r><w:rPr><w:rFonts w:ascii="Times New Roman" w:hAnsi="Times New Roman"/><w:sz w:val="24"/><w:szCs w:val="24"/></w:rPr></w:r></w:p><w:p><w:pPr><w:pStyle w:val="style0"/><w:tabs><w:tab w:leader="none" w:pos="426" w:val="left"/></w:tabs><w:jc w:val="both"/></w:pPr><w:r><w:rPr><w:rFonts w:ascii="Times New Roman" w:hAnsi="Times New Roman"/><w:sz w:val="24"/><w:szCs w:val="24"/></w:rPr></w:r></w:p><w:p><w:pPr><w:pStyle w:val="style0"/><w:tabs><w:tab w:leader="none" w:pos="426" w:val="left"/></w:tabs><w:jc w:val="both"/></w:pPr><w:r><w:rPr><w:rFonts w:ascii="Times New Roman" w:hAnsi="Times New Roman"/><w:sz w:val="24"/><w:szCs w:val="24"/></w:rPr></w:r></w:p><w:p><w:pPr><w:pStyle w:val="style0"/><w:tabs><w:tab w:leader="none" w:pos="426" w:val="left"/></w:tabs><w:jc w:val="both"/></w:pPr><w:r><w:rPr><w:rFonts w:ascii="Times New Roman" w:hAnsi="Times New Roman"/><w:sz w:val="24"/><w:szCs w:val="24"/></w:rPr></w:r></w:p><w:p><w:pPr><w:pStyle w:val="style0"/><w:tabs><w:tab w:leader="none" w:pos="426" w:val="left"/></w:tabs><w:jc w:val="both"/></w:pPr><w:r><w:rPr><w:rFonts w:ascii="Times New Roman" w:hAnsi="Times New Roman"/><w:sz w:val="24"/><w:szCs w:val="24"/></w:rPr></w:r></w:p><w:p><w:pPr><w:pStyle w:val="style52"/><w:jc w:val="center"/></w:pPr><w:bookmarkStart w:id="277" w:name="_Toc432365007"/><w:r><w:rPr><w:rFonts w:ascii="Times New Roman" w:hAnsi="Times New Roman"/><w:b/><w:i w:val="false"/><w:color w:val="00000A"/><w:sz w:val="24"/></w:rPr><w:t xml:space="preserve">GRÁFICO . </w:t></w:r><w:bookmarkEnd w:id="277"/><w:r><w:rPr><w:rFonts w:ascii="Times New Roman" w:hAnsi="Times New Roman"/><w:i w:val="false"/><w:color w:val="00000A"/><w:sz w:val="24"/></w:rPr><w:t>Rendimiento sobre Patrimonio (ROE) 2014</w:t></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center"/></w:pPr><w:r><w:rPr><w:rFonts w:ascii="Times New Roman" w:hAnsi="Times New Roman"/><w:b/><w:sz w:val="24"/><w:szCs w:val="24"/><w:lang w:val="es-ES"/></w:rPr></w:r></w:p><w:p><w:pPr><w:pStyle w:val="style0"/><w:tabs><w:tab w:leader="none" w:pos="2190" w:val="left"/></w:tabs><w:jc w:val="both"/></w:pPr><w:r><w:rPr><w:rFonts w:ascii="Times New Roman" w:hAnsi="Times New Roman"/><w:sz w:val="24"/><w:szCs w:val="24"/></w:rPr><w:t>Fuente: Bello, V. (2015)</w:t></w:r></w:p><w:p><w:pPr><w:pStyle w:val="style0"/><w:tabs><w:tab w:leader="none" w:pos="2190" w:val="left"/></w:tabs><w:jc w:val="center"/></w:pPr><w:r><w:rPr><w:rFonts w:ascii="Times New Roman" w:hAnsi="Times New Roman"/><w:b/><w:sz w:val="24"/><w:szCs w:val="24"/><w:lang w:val="es-ES"/></w:rPr></w:r></w:p><w:p><w:pPr><w:pStyle w:val="style0"/><w:numPr><w:ilvl w:val="0"/><w:numId w:val="18"/></w:numPr><w:tabs><w:tab w:leader="none" w:pos="426" w:val="left"/></w:tabs><w:ind w:hanging="0" w:left="0" w:right="0"/><w:jc w:val="both"/></w:pPr><w:r><w:rPr><w:rFonts w:ascii="Times New Roman" w:hAnsi="Times New Roman"/><w:sz w:val="24"/><w:szCs w:val="24"/></w:rPr><w:t>Rendimiento sobre el capital de trabajo</w:t></w:r></w:p><w:p><w:pPr><w:pStyle w:val="style0"/><w:tabs><w:tab w:leader="none" w:pos="426" w:val="left"/></w:tabs><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En el Grafico 103, se observa baja variabilidad en el rendimiento sobre el capital de trabajo para el año 2008, a excepción de los meses de Octubre y Noviembre, donde dicho indicador se aleja de la media considerablemente. De este grafico se puede establecer una relación entre la rentabilidad sobre el capital de trabajo (CT) y la rentabilidad sobre el patrimonio, según lo que se refleja en el Estado de Ganancias y Pérdidas del 01-01-2008 al 31-12-2008. Se dice que a mayor rentabilidad sobre el CT mayor rentabilidad sobre el patrimonio, y al observar ambos indicadores se cumple dicha teoría, esto debido a menor inversión en el capital de trabajo. El mayor rendimiento obtenido fue en el mes de Octubre con una tasa del 89%, lo que significa que por cada Bs. 100 invertido en a corto plazo se obtiene Bs. 89 de utilidad neta.</w:t></w:r></w:p><w:p><w:pPr><w:pStyle w:val="style0"/><w:tabs><w:tab w:leader="none" w:pos="426" w:val="left"/></w:tabs><w:jc w:val="both"/></w:pPr><w:r><w:rPr><w:rFonts w:ascii="Times New Roman" w:hAnsi="Times New Roman"/><w:sz w:val="24"/><w:szCs w:val="24"/></w:rPr></w:r></w:p><w:p><w:pPr><w:pStyle w:val="style52"/><w:jc w:val="center"/></w:pPr><w:bookmarkStart w:id="278" w:name="_Toc432365008"/><w:r><w:rPr><w:rFonts w:ascii="Times New Roman" w:hAnsi="Times New Roman"/><w:b/><w:i w:val="false"/><w:color w:val="00000A"/><w:sz w:val="24"/></w:rPr><w:t xml:space="preserve">GRÁFICO . </w:t></w:r><w:bookmarkEnd w:id="278"/><w:r><w:rPr><w:rFonts w:ascii="Times New Roman" w:hAnsi="Times New Roman"/><w:i w:val="false"/><w:color w:val="00000A"/><w:sz w:val="24"/></w:rPr><w:t>Rendimiento sobre el Capital de Trabajo 2008</w:t></w:r></w:p><w:p><w:pPr><w:pStyle w:val="style0"/><w:tabs><w:tab w:leader="none" w:pos="2910" w:val="left"/></w:tabs><w:ind w:hanging="0" w:left="720" w:right="0"/></w:pPr><w:r><w:rPr><w:rFonts w:ascii="Times New Roman" w:hAnsi="Times New Roman"/><w:sz w:val="24"/><w:szCs w:val="24"/></w:rPr><w:t>Fuente: Bello, V. (2015)</w:t></w:r></w:p><w:p><w:pPr><w:pStyle w:val="style0"/><w:tabs><w:tab w:leader="none" w:pos="2910" w:val="left"/></w:tabs><w:ind w:hanging="0" w:left="720" w:right="0"/></w:pPr><w:r><w:rPr><w:rFonts w:ascii="Times New Roman" w:hAnsi="Times New Roman"/><w:sz w:val="24"/><w:szCs w:val="24"/></w:rPr></w:r></w:p><w:p><w:pPr><w:pStyle w:val="style0"/><w:tabs><w:tab w:leader="none" w:pos="2190" w:val="left"/></w:tabs><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En el siguiente grafico correspondiente al rendimiento sobre el capital de trabajo en el año 2009, se evidencia una alta variabilidad de los valores respecto a la media, siendo esta de 16% contra un 88% de coeficiente de variación (ver Gráfico 104), de acuerdo a lo que refleja el Estado de Ganancias y Pérdidas del 01-01-2009 al 31-12-2009. En el mes de Septiembre se alcanza un rendimiento de 50,73% por lo que para ese mes la inversión a corto plazo reportó mayores niveles de ganancia que el resto del año.</w:t></w:r></w:p><w:p><w:pPr><w:pStyle w:val="style0"/><w:tabs><w:tab w:leader="none" w:pos="2190" w:val="left"/></w:tabs><w:spacing w:after="720" w:before="0" w:line="360" w:lineRule="auto"/><w:jc w:val="both"/></w:pPr><w:r><w:rPr><w:rFonts w:ascii="Times New Roman" w:hAnsi="Times New Roman"/><w:sz w:val="24"/><w:szCs w:val="24"/><w:lang w:val="es-ES"/></w:rPr></w:r></w:p><w:p><w:pPr><w:pStyle w:val="style0"/><w:tabs><w:tab w:leader="none" w:pos="2190" w:val="left"/></w:tabs><w:spacing w:after="720" w:before="0" w:line="360" w:lineRule="auto"/><w:jc w:val="both"/></w:pPr><w:r><w:rPr><w:rFonts w:ascii="Times New Roman" w:hAnsi="Times New Roman"/><w:sz w:val="24"/><w:szCs w:val="24"/><w:lang w:val="es-ES"/></w:rPr></w:r></w:p><w:p><w:pPr><w:pStyle w:val="style52"/><w:jc w:val="center"/></w:pPr><w:bookmarkStart w:id="279" w:name="_Toc432365009"/><w:r><w:rPr><w:rFonts w:ascii="Times New Roman" w:hAnsi="Times New Roman"/><w:b/><w:i w:val="false"/><w:color w:val="00000A"/><w:sz w:val="24"/></w:rPr><w:t xml:space="preserve">GRÁFICO . </w:t></w:r><w:bookmarkEnd w:id="279"/><w:r><w:rPr><w:rFonts w:ascii="Times New Roman" w:hAnsi="Times New Roman"/><w:i w:val="false"/><w:color w:val="00000A"/><w:sz w:val="24"/></w:rPr><w:t>Rendimiento sobre el Capital de Trabajo 2009</w:t></w:r></w:p><w:p><w:pPr><w:pStyle w:val="style0"/><w:tabs><w:tab w:leader="none" w:pos="2190" w:val="left"/></w:tabs></w:pPr><w:r><w:rPr><w:rFonts w:ascii="Times New Roman" w:hAnsi="Times New Roman"/><w:b/><w:sz w:val="24"/><w:szCs w:val="24"/><w:lang w:val="es-ES"/></w:rPr></w:r></w:p><w:p><w:pPr><w:pStyle w:val="style0"/><w:tabs><w:tab w:leader="none" w:pos="2190" w:val="left"/></w:tabs></w:pPr><w:r><w:rPr><w:rFonts w:ascii="Times New Roman" w:hAnsi="Times New Roman"/><w:sz w:val="24"/><w:szCs w:val="24"/></w:rPr><w:t>Fuente: Bello, V. (2015)</w:t></w:r></w:p><w:p><w:pPr><w:pStyle w:val="style0"/><w:tabs><w:tab w:leader="none" w:pos="2190" w:val="left"/></w:tabs><w:spacing w:line="360" w:lineRule="auto"/><w:jc w:val="both"/></w:pPr><w:r><w:rPr><w:rFonts w:ascii="Times New Roman" w:hAnsi="Times New Roman"/><w:sz w:val="24"/><w:szCs w:val="24"/></w:rPr></w:r></w:p><w:p><w:pPr><w:pStyle w:val="style0"/><w:tabs><w:tab w:leader="none" w:pos="2190" w:val="left"/></w:tabs><w:spacing w:line="360" w:lineRule="auto"/><w:jc w:val="both"/></w:pPr><w:r><w:rPr><w:rFonts w:ascii="Times New Roman" w:hAnsi="Times New Roman"/><w:sz w:val="24"/><w:szCs w:val="24"/></w:rPr><w:t xml:space="preserve">     </w:t></w:r><w:r><w:rPr><w:rFonts w:ascii="Times New Roman" w:hAnsi="Times New Roman"/><w:sz w:val="24"/><w:szCs w:val="24"/></w:rPr><w:t>Los dos años anteriores más este año 2010, se caracteriza por alcanzar niveles de rentabilidad elevados en el 3er. Trimestre de cada uno de ellos. Siendo el cierre fiscal determinante para lograr que cada inversión a corto plazo reporte mayores niveles de ganancia y por ende mejores rendimientos. En este caso como se observa en el Grafico 105 la tasa de rendimiento alcanzada fue de 190, según Estado de Ganancias y Pérdidas del 01-01-2010 al 31-12-2010.</w:t></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52"/><w:jc w:val="center"/></w:pPr><w:bookmarkStart w:id="280" w:name="_Toc432365010"/><w:r><w:rPr><w:rFonts w:ascii="Times New Roman" w:hAnsi="Times New Roman"/><w:b/><w:i w:val="false"/><w:color w:val="00000A"/><w:sz w:val="24"/></w:rPr><w:t xml:space="preserve">GRÁFICO . </w:t></w:r><w:bookmarkEnd w:id="280"/><w:r><w:rPr><w:rFonts w:ascii="Times New Roman" w:hAnsi="Times New Roman"/><w:i w:val="false"/><w:color w:val="00000A"/><w:sz w:val="24"/></w:rPr><w:t>Rendimiento sobre el Capital de Trabajo 2010</w:t></w:r></w:p><w:p><w:pPr><w:pStyle w:val="style0"/><w:tabs><w:tab w:leader="none" w:pos="2910" w:val="left"/></w:tabs><w:ind w:hanging="0" w:left="720" w:right="0"/></w:pPr><w:r><w:rPr><w:rFonts w:ascii="Times New Roman" w:hAnsi="Times New Roman"/><w:sz w:val="24"/><w:szCs w:val="24"/></w:rPr><w:t>Fuente: Bello, V. (2015)</w:t></w:r></w:p><w:p><w:pPr><w:pStyle w:val="style0"/><w:tabs><w:tab w:leader="none" w:pos="2190" w:val="left"/></w:tabs><w:jc w:val="both"/></w:pPr><w:r><w:rPr><w:rFonts w:ascii="Times New Roman" w:hAnsi="Times New Roman"/><w:sz w:val="24"/><w:szCs w:val="24"/></w:rPr></w:r></w:p><w:p><w:pPr><w:pStyle w:val="style0"/><w:tabs><w:tab w:leader="none" w:pos="2190" w:val="left"/></w:tabs><w:spacing w:line="360" w:lineRule="auto"/><w:jc w:val="both"/></w:pPr><w:r><w:rPr><w:rFonts w:ascii="Times New Roman" w:hAnsi="Times New Roman"/><w:sz w:val="24"/><w:szCs w:val="24"/></w:rPr><w:t xml:space="preserve">     </w:t></w:r><w:r><w:rPr><w:rFonts w:ascii="Times New Roman" w:hAnsi="Times New Roman"/><w:sz w:val="24"/><w:szCs w:val="24"/></w:rPr><w:t>Caso contrario ocurre a partir del año 2011. Tal y como se observa en el siguiente gráfico, el máximo rendimiento obtenido fue en el mes de Abril de un 40,31%, cálculos basados en el Estado de Ganancias y Pérdidas del 01-01-2011 al 31-12-2011. Sin embargo, en el mes de Marzo se obtuvo un rendimiento negativo de 90,53% marcando la tendencia del año a bajos rendimientos, es decir baja rentabilidad sobre la inversión a corto plazo (capital de trabajo).</w:t></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0"/><w:tabs><w:tab w:leader="none" w:pos="2190" w:val="left"/></w:tabs><w:jc w:val="both"/></w:pPr><w:r><w:rPr><w:rFonts w:ascii="Times New Roman" w:hAnsi="Times New Roman"/><w:sz w:val="24"/><w:szCs w:val="24"/></w:rPr></w:r></w:p><w:p><w:pPr><w:pStyle w:val="style52"/><w:jc w:val="center"/></w:pPr><w:bookmarkStart w:id="281" w:name="_Toc432365011"/><w:r><w:rPr><w:rFonts w:ascii="Times New Roman" w:hAnsi="Times New Roman"/><w:b/><w:i w:val="false"/><w:color w:val="00000A"/><w:sz w:val="24"/></w:rPr><w:t xml:space="preserve">GRÁFICO . </w:t></w:r><w:bookmarkEnd w:id="281"/><w:r><w:rPr><w:rFonts w:ascii="Times New Roman" w:hAnsi="Times New Roman"/><w:i w:val="false"/><w:color w:val="00000A"/><w:sz w:val="24"/></w:rPr><w:t>Rendimiento sobre el Capital de Trabajo 2011</w:t></w:r></w:p><w:p><w:pPr><w:pStyle w:val="style0"/><w:tabs><w:tab w:leader="none" w:pos="2910" w:val="left"/></w:tabs><w:ind w:hanging="0" w:left="720" w:right="0"/></w:pPr><w:r><w:rPr><w:rFonts w:ascii="Times New Roman" w:hAnsi="Times New Roman"/><w:sz w:val="24"/><w:szCs w:val="24"/></w:rPr><w:t>Fuente: Bello, V. (2015)</w:t></w:r></w:p><w:p><w:pPr><w:pStyle w:val="style0"/><w:tabs><w:tab w:leader="none" w:pos="1530" w:val="left"/></w:tabs></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t xml:space="preserve">     </w:t></w:r><w:r><w:rPr><w:rFonts w:ascii="Times New Roman" w:hAnsi="Times New Roman"/><w:sz w:val="24"/><w:szCs w:val="24"/></w:rPr><w:t xml:space="preserve">Para el año 2012, la situación no mejora, existe una alta variabilidad del rendimiento respecto al año anterior. La mayor rentabilidad positiva obtenida es de 272,61% en el mes de Agosto luego de una caída en el mismo de 471,88% en el mes de Junio (ver Gráfico 107), lo que supone una rectificación en la toma de decisiones a la hora de conllevar los esfuerzos a un mejor uso de la inversión a corto plazo para la consecución de mayores ganancias, de acuerdo al Estado de Ganancias y Pérdidas del 01-01-2012 al 31-12-2012. </w:t></w:r></w:p><w:p><w:pPr><w:pStyle w:val="style0"/><w:tabs><w:tab w:leader="none" w:pos="1530" w:val="left"/></w:tabs><w:jc w:val="both"/></w:pPr><w:r><w:rPr><w:rFonts w:ascii="Times New Roman" w:hAnsi="Times New Roman"/><w:sz w:val="24"/><w:szCs w:val="24"/></w:rPr></w:r></w:p><w:p><w:pPr><w:pStyle w:val="style0"/><w:tabs><w:tab w:leader="none" w:pos="1530" w:val="left"/></w:tabs><w:jc w:val="both"/></w:pPr><w:r><w:rPr><w:rFonts w:ascii="Times New Roman" w:hAnsi="Times New Roman"/><w:sz w:val="24"/><w:szCs w:val="24"/></w:rPr></w:r></w:p><w:p><w:pPr><w:pStyle w:val="style0"/><w:tabs><w:tab w:leader="none" w:pos="1530" w:val="left"/></w:tabs><w:jc w:val="both"/></w:pPr><w:r><w:rPr><w:rFonts w:ascii="Times New Roman" w:hAnsi="Times New Roman"/><w:sz w:val="24"/><w:szCs w:val="24"/></w:rPr></w:r></w:p><w:p><w:pPr><w:pStyle w:val="style0"/><w:tabs><w:tab w:leader="none" w:pos="1530" w:val="left"/></w:tabs><w:jc w:val="both"/></w:pPr><w:r><w:rPr><w:rFonts w:ascii="Times New Roman" w:hAnsi="Times New Roman"/><w:sz w:val="24"/><w:szCs w:val="24"/></w:rPr></w:r></w:p><w:p><w:pPr><w:pStyle w:val="style0"/><w:tabs><w:tab w:leader="none" w:pos="1530" w:val="left"/></w:tabs><w:jc w:val="both"/></w:pPr><w:r><w:rPr><w:rFonts w:ascii="Times New Roman" w:hAnsi="Times New Roman"/><w:sz w:val="24"/><w:szCs w:val="24"/></w:rPr></w:r></w:p><w:p><w:pPr><w:pStyle w:val="style0"/><w:tabs><w:tab w:leader="none" w:pos="1530" w:val="left"/></w:tabs><w:jc w:val="both"/></w:pPr><w:r><w:rPr><w:rFonts w:ascii="Times New Roman" w:hAnsi="Times New Roman"/><w:sz w:val="24"/><w:szCs w:val="24"/></w:rPr></w:r></w:p><w:p><w:pPr><w:pStyle w:val="style52"/><w:jc w:val="center"/></w:pPr><w:bookmarkStart w:id="282" w:name="_Toc432365012"/><w:r><w:rPr><w:rFonts w:ascii="Times New Roman" w:hAnsi="Times New Roman"/><w:b/><w:i w:val="false"/><w:color w:val="00000A"/><w:sz w:val="24"/></w:rPr><w:t xml:space="preserve">GRÁFICO . </w:t></w:r><w:bookmarkEnd w:id="282"/><w:r><w:rPr><w:rFonts w:ascii="Times New Roman" w:hAnsi="Times New Roman"/><w:i w:val="false"/><w:color w:val="00000A"/><w:sz w:val="24"/></w:rPr><w:t>Rendimiento sobre el Capital de Trabajo 2012</w:t></w:r></w:p><w:p><w:pPr><w:pStyle w:val="style0"/><w:tabs><w:tab w:leader="none" w:pos="2910" w:val="left"/></w:tabs><w:ind w:hanging="0" w:left="720" w:right="0"/></w:pPr><w:r><w:rPr><w:rFonts w:ascii="Times New Roman" w:hAnsi="Times New Roman"/><w:sz w:val="24"/><w:szCs w:val="24"/></w:rPr><w:t>Fuente: Bello, V. (2015)</w:t></w:r></w:p><w:p><w:pPr><w:pStyle w:val="style0"/><w:tabs><w:tab w:leader="none" w:pos="1530" w:val="left"/></w:tabs></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t xml:space="preserve">     </w:t></w:r><w:r><w:rPr><w:rFonts w:ascii="Times New Roman" w:hAnsi="Times New Roman"/><w:sz w:val="24"/><w:szCs w:val="24"/></w:rPr><w:t xml:space="preserve">En el año 2013, la caída en el rendimiento es sostenida desde el mes de Mayo. Luego de una leve mejora en el mes de Abril respecto a la caída sufrida desde el año anterior. El máximo rendimiento obtenido este año sobre el capital de trabajo fue de 31,23% en el mes de Enero. La variabilidad del indicador se mantuvo en 52,53% respecto a la media, tal y como se observa en el siguiente gráfico, basado en información registrada en el Estado de Ganancias y Pérdidas del 01-01-2013 al 31-12-2013. </w:t></w:r></w:p><w:p><w:pPr><w:pStyle w:val="style0"/><w:tabs><w:tab w:leader="none" w:pos="1530" w:val="left"/></w:tabs><w:spacing w:line="360" w:lineRule="auto"/><w:jc w:val="both"/></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r></w:p><w:p><w:pPr><w:pStyle w:val="style52"/><w:jc w:val="center"/></w:pPr><w:bookmarkStart w:id="283" w:name="_Toc432365013"/><w:r><w:rPr><w:rFonts w:ascii="Times New Roman" w:hAnsi="Times New Roman"/><w:b/><w:i w:val="false"/><w:color w:val="00000A"/><w:sz w:val="24"/></w:rPr><w:t xml:space="preserve">GRÁFICO . </w:t></w:r><w:bookmarkEnd w:id="283"/><w:r><w:rPr><w:rFonts w:ascii="Times New Roman" w:hAnsi="Times New Roman"/><w:i w:val="false"/><w:color w:val="00000A"/><w:sz w:val="24"/></w:rPr><w:t>Rendimiento sobre el Capital de Trabajo 2013</w:t></w:r></w:p><w:p><w:pPr><w:pStyle w:val="style0"/><w:tabs><w:tab w:leader="none" w:pos="2910" w:val="left"/></w:tabs><w:ind w:hanging="0" w:left="720" w:right="0"/></w:pPr><w:r><w:rPr><w:rFonts w:ascii="Times New Roman" w:hAnsi="Times New Roman"/><w:sz w:val="24"/><w:szCs w:val="24"/></w:rPr><w:t>Fuente: Bello, V. (2015)</w:t></w:r></w:p><w:p><w:pPr><w:pStyle w:val="style0"/><w:tabs><w:tab w:leader="none" w:pos="2190" w:val="left"/></w:tabs><w:jc w:val="both"/></w:pPr><w:r><w:rPr><w:rFonts w:ascii="Times New Roman" w:hAnsi="Times New Roman"/><w:sz w:val="24"/><w:szCs w:val="24"/></w:rPr></w:r></w:p><w:p><w:pPr><w:pStyle w:val="style52"/><w:jc w:val="center"/></w:pPr><w:bookmarkStart w:id="284" w:name="_Toc432365014"/><w:r><w:rPr><w:rFonts w:ascii="Times New Roman" w:hAnsi="Times New Roman"/><w:b/><w:i w:val="false"/><w:color w:val="00000A"/><w:sz w:val="24"/></w:rPr><w:t xml:space="preserve">GRÁFICO . </w:t></w:r><w:bookmarkEnd w:id="284"/><w:r><w:rPr><w:rFonts w:ascii="Times New Roman" w:hAnsi="Times New Roman"/><w:i w:val="false"/><w:color w:val="00000A"/><w:sz w:val="24"/></w:rPr><w:t>Rendimiento sobre el Capital de Trabajo 2014</w:t></w:r></w:p><w:p><w:pPr><w:pStyle w:val="style0"/><w:tabs><w:tab w:leader="none" w:pos="2190" w:val="left"/></w:tabs></w:pPr><w:r><w:rPr><w:rFonts w:ascii="Times New Roman" w:hAnsi="Times New Roman"/><w:b/><w:sz w:val="24"/><w:szCs w:val="24"/><w:lang w:val="es-ES"/></w:rPr></w:r></w:p><w:p><w:pPr><w:pStyle w:val="style0"/><w:tabs><w:tab w:leader="none" w:pos="2910" w:val="left"/></w:tabs><w:ind w:hanging="0" w:left="720" w:right="0"/><w:jc w:val="both"/></w:pPr><w:r><w:rPr><w:rFonts w:ascii="Times New Roman" w:hAnsi="Times New Roman"/><w:sz w:val="24"/><w:szCs w:val="24"/></w:rPr><w:t>Fuente: Bello, V. (2015)</w:t></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La tendencia en el año 2014 respecto a la inversión a corto plazo para la generación de ganancias, reporta caída sostenida a los largo del año (Grafico 109), según información del Estado de Ganancias y Pérdidas del 01-01-2014 al 31-12-2014, por lo que se requiere, una rectificación en el uso de la inversión a corto plazo, es decir capital de trabajo, a través de una planificación financiera que conlleve al logro de utilidades en los ejercicios posteriores. </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En resumen, el indicador de Capital de Trabajo en promedio, tiene una tendencia decreciente durante el periodo 2008-2014, hasta alcanzar valores negativos, por lo que la empresa tendera  a la ausencia de efectivo luego de honrar sus deudas, resultando comprometida la operatividad diaria de la misma.</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Seguidamente, el indicador Razón Circulante, muestra para el periodo 2008-2014, una capacidad promedio de Bs. 1,76 por cada Bs. de pasivo circulante, alcanzando una tendencia a mantener promedios que permitan cubrir sus deudas a corto plazo. </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Por su parte, se tiene la Prueba Súper Acida, el promedio para el periodo en estudio es de Bs. 1,56 en activos líquidos por da Bs. de pasivo corriente, al igual que anterior indicador el promedio en el periodo es con una tendencia a valores estables a un poco por encima de bolívares cero, permitiendo honrar cada vez con menos holgura las deudas a corto plazo. </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Ahora bien, la Razón Fondo de Maniobra,  en promedio para el periodo 2008-2014, el capital de trabajo representa 0,66 veces los activos totales de la empresa, es decir para ese periodo la empresa presenta niveles bajos de liquidez, esto explicado mayormente debido a que a partir del año 2011 el capital de trabajo resultó negativo hasta alcanzar niveles alarmantes y no compensados por los buenos resultados de los inicios del periodo. </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Respecto a la Razón de Endeudamiento, para el periodo 2008-2014, en promedio la empresa mantuvo un 55,39% de financiamiento de terceros contra un 44,61% de aportes propios para la inversión. La tendencia durante ese periodo es creciente, por lo que la empresa se arriesga cada vez más a tomar financiamiento de terceros para hacer frente a nuevas inversiones. </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Referente a la Razón de Apalancamiento Externo, durante el periodo 2008-2014, presenta un promedio de Bs. 1,75 de deuda por cada Bs. de patrimonio, lo que significa que éste se encuentra comprometido Bs. 0,75 adicional, y con una tendencia creciente llegando a valores de Bs. 3,51 para el 2014, evidenciando ausente incremento en el patrimonio por parte de los accionistas de la empresa, y recurrentes incrementos en los pasivos. </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En cuanto a la Razón de Apalancamiento Interno, en promedio para el periodo en estudio, se tiene Bs. 1,84 de aporte propio por cada Bs. de deudas con terceros. Existe una tendencia a disminuir esta relación, indicando que cada vez menos los accionistas aportan para cubrir el financiamiento de corto y largo plazo, lo que significa una mejora para la empresa en su capacidad de endeudamiento. </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El indicador de Días Cuentas por Cobrar, resulta un promedio para el periodo 2008-2014, de 281 días, lo que indica que en la empresa no hay una política de cobros definida que permita la recuperación rápida de las ventas a crédito. Sin embargo, hacia finales del periodo, la tendencia es a la baja por las medidas tomadas para la recuperación señalada, pero no suficiente para mejorar los resultados del periodo estudiado; el cual debe estar acompañado por una política de incremento en las ventas de contado.</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En relación a la Rotación de Cuentas por Cobrar, en promedio cada 3 días se realiza el cobro de las cuentas por cobrar, para el periodo estudiado. Sin embargo, la tendencia en ese periodo es al incremento en el número de días debido a que a mediados del periodo se aplicó una política de cobros agresiva que redujo las cuentas por cobrar, implementando así las ventas de contado, flexibilizando para finales de periodo dicha política debido a la alta entrada de contado y manteniendo las cuentas por cobrar a niveles bajos con alta rotación. </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En referencia a la Rotación de Activos Fijos, el panorama es diferente, la relación entre las ventas y los activos fijos, en promedio, para el periodo 2008-2014 es de 1,59 veces, es decir que las ventas representan esa cantidad de veces sobre el activo fijo, significando un alto rendimiento sobre los activos. La tendencia es creciente, siempre y cuando se tome en consideración el incremento en la inversión de los activos fijos productivos en función al mayor incremento de las ventas.</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Para la Rotación de Capital de Trabajo, el promedio en el periodo de estudio es de Bs. 1,30, explicado principalmente por los buenos resultados para inicios del periodo, debido a que a partir del año 2011, el capital de trabajo resultó negativo. A pesar del incremento en las ventas, la rotación resulta decreciente por los resultados obtenidos en el capital de trabajo, dado el incremento en las deudas a corto a plazo. </w:t></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Respecto al Margen de Utilidad en Operaciones para el periodo 2008-2014 el promedio es 13,58% esto explicado principalmente, por una ausencia en la planificación de los gastos operativos de la empresa, por lo que no se contrarresta con el esfuerzo utilizado para el incremento de las ventas. A pesar de ello, la tendencia es decreciente, por lo que no se evidencia políticas para el adecuado uso de los ingresos, durante el periodo de estudio. </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En cuanto al Margen de Utilidad Neta, el promedio para el periodo señalado es de 3,63%. A pesar del incremento progresivo de las ventas, la falta de planificación financiera resulta de un mal manejo de los recursos para afrontar los gastos. La tendencia es decreciente, por lo que no se evidencia una intención de mejora para la misma. </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Ahora bien, el Rendimiento sobre Activos tiene un promedio para el periodo 2008-2014 de 3,92%. Es decir, por cada Bs 100 de Activos Totales, se genera Bs. 3,92 en Utilidad Neta, en promedio. Esto debido a la caída en la utilidad neta explicada por el indicador anterior, dado los altos niveles de gastos frente a los ingresos percibidos, evidenciando así una mala utilización de los activos para la generación de ingresos. </w:t></w:r></w:p><w:p><w:pPr><w:pStyle w:val="style0"/><w:tabs><w:tab w:leader="none" w:pos="426" w:val="left"/></w:tabs><w:spacing w:line="360" w:lineRule="auto"/><w:jc w:val="both"/></w:pPr><w:r><w:rPr><w:rFonts w:ascii="Times New Roman" w:hAnsi="Times New Roman"/><w:sz w:val="24"/><w:szCs w:val="24"/></w:rPr></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 xml:space="preserve">Por su parte, el Rendimiento sobre el Patrimonio refiere un promedio para el periodo en estudio de 5,51%, lo que significa que por cada Bs. 100 aportado por los accionistas se genera Bs. 5,51 de Utilidad Neta. A pesar de resultar positivo dicho promedio, la tendencia es decreciente, por lo que se debe hacer seguimiento al esfuerzo por generar una utilidad superior por cada bolívar que inviertan los accionistas de la empresa. </w:t></w:r></w:p><w:p><w:pPr><w:pStyle w:val="style0"/><w:tabs><w:tab w:leader="none" w:pos="426" w:val="left"/></w:tabs><w:spacing w:line="360" w:lineRule="auto"/><w:jc w:val="both"/></w:pPr><w:r><w:rPr><w:rFonts w:ascii="Times New Roman" w:hAnsi="Times New Roman"/><w:sz w:val="24"/><w:szCs w:val="24"/></w:rPr><w:t xml:space="preserve">     </w:t></w:r><w:r><w:rPr><w:rFonts w:ascii="Times New Roman" w:hAnsi="Times New Roman"/><w:sz w:val="24"/><w:szCs w:val="24"/></w:rPr><w:t>Finalmente, el Rendimiento sobre el Capital de Trabajo, arroja un promedio para el periodo 2008-2014 de 11,68%, valor bajo altamente influenciado por la caída a valores negativos del capital de trabajo por la falta de liquidez para afrontar las deudas a corto plazo, los cuales van generando año a año la caída de ese indicador y adicionalmente las pérdidas netas alcanzada en ese periodo dado los altos costos generados.</w:t></w:r></w:p><w:p><w:pPr><w:pStyle w:val="style0"/><w:tabs><w:tab w:leader="none" w:pos="2910" w:val="left"/></w:tabs><w:ind w:hanging="0" w:left="720" w:right="0"/><w:jc w:val="both"/></w:pPr><w:r><w:rPr><w:rFonts w:ascii="Times New Roman" w:hAnsi="Times New Roman"/><w:sz w:val="24"/><w:szCs w:val="24"/></w:rPr></w:r></w:p><w:p><w:pPr><w:pStyle w:val="style0"/><w:tabs><w:tab w:leader="none" w:pos="2190" w:val="left"/></w:tabs><w:jc w:val="both"/></w:pPr><w:r><w:rPr><w:rFonts w:ascii="Times New Roman" w:hAnsi="Times New Roman"/><w:b/><w:sz w:val="24"/><w:szCs w:val="24"/><w:lang w:val="es-ES"/></w:rPr><w:t xml:space="preserve">     </w:t></w:r><w:r><w:rPr><w:rFonts w:ascii="Times New Roman" w:hAnsi="Times New Roman"/><w:b/><w:sz w:val="24"/><w:szCs w:val="24"/><w:lang w:val="es-ES"/></w:rPr><w:t>Factores internos y externos en relación a la gestión financiera que presenta el Frigorífico Industrial Carabobo (FRINCA).</w:t></w:r></w:p><w:p><w:pPr><w:pStyle w:val="style0"/><w:tabs><w:tab w:leader="none" w:pos="2910" w:val="left"/></w:tabs><w:ind w:hanging="0" w:left="720" w:right="0"/><w:jc w:val="center"/></w:pPr><w:r><w:rPr><w:rFonts w:ascii="Times New Roman" w:hAnsi="Times New Roman"/><w:b/><w:sz w:val="24"/><w:szCs w:val="24"/><w:lang w:val="es-ES"/></w:rPr></w:r></w:p><w:p><w:pPr><w:pStyle w:val="style0"/><w:tabs><w:tab w:leader="none" w:pos="1530" w:val="left"/></w:tabs><w:spacing w:line="360" w:lineRule="auto"/><w:jc w:val="both"/></w:pPr><w:r><w:rPr><w:rFonts w:ascii="Times New Roman" w:hAnsi="Times New Roman"/><w:sz w:val="24"/><w:szCs w:val="24"/></w:rPr><w:t xml:space="preserve">     </w:t></w:r><w:r><w:rPr><w:rFonts w:ascii="Times New Roman" w:hAnsi="Times New Roman"/><w:sz w:val="24"/><w:szCs w:val="24"/></w:rPr><w:t xml:space="preserve">En el presente objetivo se analizará desde el punto de vista financiero de la empresa FRINCA, a partir de lo calculado en el objetivo anterior, las cuales se pudieron observar dado el comportamiento de los indicadores financieros para el período 2008-2014, como herramienta de análisis de los estados financieros históricos del objeto de estudio. </w:t></w:r></w:p><w:p><w:pPr><w:pStyle w:val="style0"/><w:tabs><w:tab w:leader="none" w:pos="1530" w:val="left"/></w:tabs><w:spacing w:line="360" w:lineRule="auto"/><w:jc w:val="both"/></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t xml:space="preserve">    </w:t></w:r><w:r><w:rPr><w:rFonts w:ascii="Times New Roman" w:hAnsi="Times New Roman"/><w:sz w:val="24"/><w:szCs w:val="24"/></w:rPr><w:t>A continuación, se describe lo señalado:</w:t></w:r></w:p><w:p><w:pPr><w:pStyle w:val="style0"/><w:tabs><w:tab w:leader="none" w:pos="1530" w:val="left"/></w:tabs><w:spacing w:line="360" w:lineRule="auto"/><w:jc w:val="both"/></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r></w:p><w:p><w:pPr><w:pStyle w:val="style0"/><w:tabs><w:tab w:leader="none" w:pos="1530" w:val="left"/></w:tabs><w:spacing w:line="360" w:lineRule="auto"/><w:jc w:val="both"/></w:pPr><w:r><w:rPr><w:rFonts w:ascii="Times New Roman" w:hAnsi="Times New Roman"/><w:sz w:val="24"/><w:szCs w:val="24"/></w:rPr></w:r></w:p><w:p><w:pPr><w:pStyle w:val="style0"/><w:jc w:val="center"/></w:pPr><w:r><w:rPr><w:rFonts w:ascii="Times New Roman" w:hAnsi="Times New Roman"/><w:b/><w:sz w:val="24"/><w:lang w:val="es-ES"/></w:rPr><w:t xml:space="preserve">CUADRO 2. </w:t></w:r><w:r><w:rPr><w:rFonts w:ascii="Times New Roman" w:hAnsi="Times New Roman"/><w:sz w:val="24"/><w:lang w:val="es-ES"/></w:rPr><w:t>Factores Internos y Externos del Frigorífico Industrial Carabobo</w:t></w:r></w:p><w:tbl><w:tblPr><w:jc w:val="left"/><w:tblInd w:type="dxa" w:w="-75"/><w:tblBorders><w:top w:color="00000A" w:space="0" w:sz="8" w:val="single"/><w:left w:color="00000A" w:space="0" w:sz="4" w:val="single"/><w:bottom w:color="00000A" w:space="0" w:sz="4" w:val="single"/><w:right w:color="000001" w:space="0" w:sz="4" w:val="single"/></w:tblBorders></w:tblPr><w:tblGrid><w:gridCol w:w="4800"/><w:gridCol w:w="4799"/></w:tblGrid><w:tr><w:trPr><w:trHeight w:hRule="atLeast" w:val="300"/><w:cantSplit w:val="false"/></w:trPr><w:tc><w:tcPr><w:tcW w:type="dxa" w:w="4800"/><w:tcBorders><w:top w:color="00000A" w:space="0" w:sz="8" w:val="single"/><w:left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b/><w:bCs/><w:color w:val="000000"/><w:sz w:val="28"/><w:szCs w:val="28"/><w:lang w:eastAsia="es-VE" w:val="es-VE"/></w:rPr><w:t>FORTALEZAS</w:t></w:r></w:p></w:tc><w:tc><w:tcPr><w:tcW w:type="dxa" w:w="4799"/><w:tcBorders><w:top w:color="00000A" w:space="0" w:sz="8"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b/><w:bCs/><w:color w:val="000000"/><w:sz w:val="28"/><w:szCs w:val="28"/><w:lang w:eastAsia="es-VE" w:val="es-VE"/></w:rPr><w:t>DEBILIDADES</w:t></w:r></w:p></w:tc></w:tr><w:tr><w:trPr><w:trHeight w:hRule="atLeast" w:val="778"/><w:cantSplit w:val="false"/></w:trPr><w:tc><w:tcPr><w:tcW w:type="dxa" w:w="4800"/><w:tcBorders><w:top w:color="00000A" w:space="0" w:sz="8" w:val="single"/><w:left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1. La empresa es capaz de generar activos líquidos que le permitan honrar sus deudas a corto plazo.</w:t></w:r></w:p></w:tc><w:tc><w:tcPr><w:tcW w:type="dxa" w:w="4799"/><w:tcBorders><w:top w:color="00000A" w:space="0" w:sz="8"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1. La empresa no mantiene estabilidad en sus activos corrientes.</w:t></w:r></w:p></w:tc></w:tr><w:tr><w:trPr><w:trHeight w:hRule="atLeast" w:val="785"/><w:cantSplit w:val="false"/></w:trPr><w:tc><w:tcPr><w:tcW w:type="dxa" w:w="4800"/><w:tcBorders><w:top w:color="00000A" w:space="0" w:sz="4" w:val="single"/><w:left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2. La empresa mantiene una proporción de activos corrientes sobre el total de activos por encima del 54%.</w:t></w:r></w:p></w:tc><w:tc><w:tcPr><w:tcW w:type="dxa" w:w="4799"/><w:tcBorders><w:top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2. Los pasivos corrientes tienden a incrementarse con el paso del tiempo.</w:t></w:r></w:p></w:tc></w:tr><w:tr><w:trPr><w:trHeight w:hRule="atLeast" w:val="797"/><w:cantSplit w:val="false"/></w:trPr><w:tc><w:tcPr><w:tcW w:type="dxa" w:w="4800"/><w:tcBorders><w:top w:color="00000A" w:space="0" w:sz="4" w:val="single"/><w:left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3. La empresa tiene capacidad de financiarse con fondos de terceros para honrar sus obligaciones.</w:t></w:r></w:p></w:tc><w:tc><w:tcPr><w:tcW w:type="dxa" w:w="4799"/><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3. La empresa tiene un nivel de apalancamiento elevado.</w:t></w:r></w:p></w:tc></w:tr><w:tr><w:trPr><w:trHeight w:hRule="atLeast" w:val="525"/><w:cantSplit w:val="false"/></w:trPr><w:tc><w:tcPr><w:tcW w:type="dxa" w:w="4800"/><w:tcBorders><w:top w:color="00000A" w:space="0" w:sz="4" w:val="single"/><w:left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6. Crecimiento en el nivel de ventas de la empresa por servicio prestado.</w:t></w:r></w:p></w:tc><w:tc><w:tcPr><w:tcW w:type="dxa" w:w="4799"/><w:tcBorders><w:top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3. Estancamiento en la generación de patrimonio de la empresa.</w:t></w:r></w:p></w:tc></w:tr><w:tr><w:trPr><w:trHeight w:hRule="atLeast" w:val="533"/><w:cantSplit w:val="false"/></w:trPr><w:tc><w:tcPr><w:tcW w:type="dxa" w:w="4800"/><w:tcBorders><w:top w:color="00000A" w:space="0" w:sz="4" w:val="single"/><w:left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7. La inversión en activos fijos es creciente.</w:t></w:r></w:p></w:tc><w:tc><w:tcPr><w:tcW w:type="dxa" w:w="4799"/><w:tcBorders><w:top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4. La empresa posee baja rotación de las cuentas por cobrar.</w:t></w:r></w:p></w:tc></w:tr><w:tr><w:trPr><w:trHeight w:hRule="atLeast" w:val="541"/><w:cantSplit w:val="false"/></w:trPr><w:tc><w:tcPr><w:tcW w:type="dxa" w:w="4800"/><w:vMerge w:val="restart"/><w:tcBorders><w:top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eastAsia="Times New Roman"/><w:color w:val="000000"/><w:lang w:eastAsia="es-VE" w:val="es-VE"/></w:rPr></w:r></w:p></w:tc><w:tc><w:tcPr><w:tcW w:type="dxa" w:w="4799"/><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5. La empresa posee capital de trabajo negativo.</w:t></w:r></w:p></w:tc></w:tr><w:tr><w:trPr><w:trHeight w:hRule="atLeast" w:val="585"/><w:cantSplit w:val="false"/></w:trPr><w:tc><w:tcPr><w:tcW w:type="dxa" w:w="4800"/><w:vMerge w:val="continue"/><w:tcBorders><w:top w:color="00000A" w:space="0" w:sz="4" w:val="single"/><w:right w:color="000001" w:space="0" w:sz="4" w:val="single"/></w:tcBorders><w:shd w:fill="auto" w:val="clear"/><w:tcMar><w:top w:type="dxa" w:w="0"/><w:left w:type="dxa" w:w="70"/><w:bottom w:type="dxa" w:w="0"/><w:right w:type="dxa" w:w="70"/></w:tcMar><w:vAlign w:val="center"/></w:tcPr><w:p><w:pPr><w:pStyle w:val="style0"/><w:spacing w:after="0" w:before="0" w:line="100" w:lineRule="atLeast"/></w:pPr><w:r><w:rPr><w:rFonts w:eastAsia="Times New Roman"/><w:color w:val="000000"/><w:lang w:eastAsia="es-VE" w:val="es-VE"/></w:rPr></w:r></w:p></w:tc><w:tc><w:tcPr><w:tcW w:type="dxa" w:w="4799"/><w:tcBorders><w:top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6. La empresa tiene pérdida neta en el último año estudiado.</w:t></w:r></w:p></w:tc></w:tr><w:tr><w:trPr><w:trHeight w:hRule="atLeast" w:val="990"/><w:cantSplit w:val="false"/></w:trPr><w:tc><w:tcPr><w:tcW w:type="dxa" w:w="4800"/><w:vMerge w:val="continue"/><w:tcBorders><w:top w:color="00000A" w:space="0" w:sz="4" w:val="single"/><w:right w:color="000001" w:space="0" w:sz="4" w:val="single"/></w:tcBorders><w:shd w:fill="auto" w:val="clear"/><w:tcMar><w:top w:type="dxa" w:w="0"/><w:left w:type="dxa" w:w="70"/><w:bottom w:type="dxa" w:w="0"/><w:right w:type="dxa" w:w="70"/></w:tcMar><w:vAlign w:val="center"/></w:tcPr><w:p><w:pPr><w:pStyle w:val="style0"/><w:spacing w:after="0" w:before="0" w:line="100" w:lineRule="atLeast"/></w:pPr><w:r><w:rPr><w:rFonts w:eastAsia="Times New Roman"/><w:color w:val="000000"/><w:lang w:eastAsia="es-VE" w:val="es-VE"/></w:rPr></w:r></w:p></w:tc><w:tc><w:tcPr><w:tcW w:type="dxa" w:w="4799"/><w:tcBorders><w:top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7. Los gastos operativos de la empresa no se corresponden con el nivel de ventas alcanzado en los últimos años.</w:t></w:r></w:p></w:tc></w:tr><w:tr><w:trPr><w:trHeight w:hRule="atLeast" w:val="390"/><w:cantSplit w:val="false"/></w:trPr><w:tc><w:tcPr><w:tcW w:type="dxa" w:w="4800"/><w:tcBorders><w:top w:color="00000A" w:space="0" w:sz="8" w:val="single"/><w:left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b/><w:bCs/><w:color w:val="000000"/><w:sz w:val="28"/><w:szCs w:val="28"/><w:lang w:eastAsia="es-VE" w:val="es-VE"/></w:rPr><w:t>OPORTUNIDADES</w:t></w:r></w:p></w:tc><w:tc><w:tcPr><w:tcW w:type="dxa" w:w="4799"/><w:tcBorders><w:top w:color="00000A" w:space="0" w:sz="8"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b/><w:bCs/><w:color w:val="000000"/><w:sz w:val="28"/><w:szCs w:val="28"/><w:lang w:eastAsia="es-VE" w:val="es-VE"/></w:rPr><w:t>AMENAZAS</w:t></w:r></w:p></w:tc></w:tr><w:tr><w:trPr><w:trHeight w:hRule="atLeast" w:val="525"/><w:cantSplit w:val="false"/></w:trPr><w:tc><w:tcPr><w:tcW w:type="dxa" w:w="4800"/><w:tcBorders><w:top w:color="00000A" w:space="0" w:sz="8" w:val="single"/><w:left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1. Diversificación hacia subproductos como: cueros y embutidos.</w:t></w:r></w:p></w:tc><w:tc><w:tcPr><w:tcW w:type="dxa" w:w="4799"/><w:tcBorders><w:top w:color="00000A" w:space="0" w:sz="8"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1. Elevados costos de la maquinaria y equipos.</w:t></w:r></w:p></w:tc></w:tr><w:tr><w:trPr><w:trHeight w:hRule="atLeast" w:val="529"/><w:cantSplit w:val="false"/></w:trPr><w:tc><w:tcPr><w:tcW w:type="dxa" w:w="4800"/><w:tcBorders><w:top w:color="00000A" w:space="0" w:sz="4" w:val="single"/><w:left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2. La región posee potencial de desarrollo en la producción cárnica.</w:t></w:r></w:p></w:tc><w:tc><w:tcPr><w:tcW w:type="dxa" w:w="4799"/><w:tcBorders><w:top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2. Escasez de las reses como principal producto.</w:t></w:r></w:p></w:tc></w:tr><w:tr><w:trPr><w:trHeight w:hRule="atLeast" w:val="523"/><w:cantSplit w:val="false"/></w:trPr><w:tc><w:tcPr><w:tcW w:type="dxa" w:w="4800"/><w:tcBorders><w:top w:color="00000A" w:space="0" w:sz="4" w:val="single"/><w:left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3. Posee una ubicación geográfica competitiva.</w:t></w:r></w:p></w:tc><w:tc><w:tcPr><w:tcW w:type="dxa" w:w="4799"/><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3. Elevados costos de la materia prima.</w:t></w:r></w:p></w:tc></w:tr><w:tr><w:trPr><w:trHeight w:hRule="atLeast" w:val="856"/><w:cantSplit w:val="false"/></w:trPr><w:tc><w:tcPr><w:tcW w:type="dxa" w:w="4800"/><w:tcBorders><w:top w:color="00000A" w:space="0" w:sz="4" w:val="single"/><w:left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4. Incremento de la demanda de carnes en el país.</w:t></w:r></w:p></w:tc><w:tc><w:tcPr><w:tcW w:type="dxa" w:w="4799"/><w:tcBorders><w:top w:color="00000A" w:space="0" w:sz="4" w:val="single"/><w:bottom w:color="00000A" w:space="0" w:sz="4" w:val="single"/><w:right w:color="000001"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4. Falta de apoyo por parte del sector financiero, los cuales exigen una serie de requisitos que generalmente no se cumple.</w:t></w:r></w:p></w:tc></w:tr><w:tr><w:trPr><w:trHeight w:hRule="atLeast" w:val="699"/><w:cantSplit w:val="false"/></w:trPr><w:tc><w:tcPr><w:tcW w:type="dxa" w:w="4800"/><w:tcBorders><w:right w:color="00000A"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r></w:p></w:tc><w:tc><w:tcPr><w:tcW w:type="dxa" w:w="4799"/><w:tcBorders><w:top w:color="00000A" w:space="0" w:sz="4" w:val="single"/><w:left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pPr><w:r><w:rPr><w:rFonts w:ascii="Times New Roman" w:eastAsia="Times New Roman" w:hAnsi="Times New Roman"/><w:color w:val="000000"/><w:sz w:val="24"/><w:szCs w:val="24"/><w:lang w:eastAsia="es-VE" w:val="es-VE"/></w:rPr><w:t>5. No hay seguridad jurídica por parte del Estado para los que conforman los canales de comercialización hacia el consumidor final.</w:t></w:r></w:p></w:tc></w:tr></w:tbl><w:p><w:pPr><w:pStyle w:val="style0"/></w:pPr><w:r><w:rPr><w:lang w:val="es-VE"/></w:rPr></w:r></w:p><w:p><w:pPr><w:pStyle w:val="style0"/><w:tabs><w:tab w:leader="none" w:pos="2190" w:val="left"/></w:tabs><w:jc w:val="both"/></w:pPr><w:r><w:rPr><w:rFonts w:ascii="Times New Roman" w:hAnsi="Times New Roman"/><w:sz w:val="24"/><w:szCs w:val="24"/></w:rPr><w:t>Fuente: Bello, V. (2015).</w:t></w:r></w:p><w:p><w:pPr><w:pStyle w:val="style0"/><w:tabs><w:tab w:leader="none" w:pos="2190" w:val="left"/></w:tabs><w:spacing w:line="360" w:lineRule="auto"/><w:jc w:val="both"/></w:pPr><w:r><w:rPr><w:rFonts w:ascii="Times New Roman" w:hAnsi="Times New Roman"/><w:sz w:val="24"/><w:szCs w:val="24"/><w:lang w:val="es-ES"/></w:rPr><w:t>A diferencia del Análisis DOFA que propone estrategias, este objetivo solo procura enumerar los factores internos y externos que afectan la empresa.</w:t></w:r></w:p><w:p><w:pPr><w:pStyle w:val="style0"/><w:tabs><w:tab w:leader="none" w:pos="2190" w:val="left"/></w:tabs><w:jc w:val="both"/></w:pPr><w:r><w:rPr><w:rFonts w:ascii="Times New Roman" w:hAnsi="Times New Roman"/><w:sz w:val="24"/><w:szCs w:val="24"/><w:lang w:val="es-ES"/></w:rPr></w:r></w:p><w:p><w:pPr><w:pStyle w:val="style0"/><w:tabs><w:tab w:leader="none" w:pos="2190" w:val="left"/></w:tabs><w:jc w:val="both"/></w:pPr><w:r><w:rPr><w:rFonts w:ascii="Times New Roman" w:hAnsi="Times New Roman"/><w:b/><w:sz w:val="24"/><w:szCs w:val="24"/><w:lang w:val="es-ES"/></w:rPr><w:t>Diseño de un modelo de planificación financiera en base al Balanced Score Card para la consecución de la maximización de los beneficios.</w:t></w:r></w:p><w:p><w:pPr><w:pStyle w:val="style0"/><w:tabs><w:tab w:leader="none" w:pos="2190" w:val="left"/></w:tabs><w:jc w:val="both"/></w:pPr><w:r><w:rPr><w:rFonts w:ascii="Times New Roman" w:hAnsi="Times New Roman"/><w:b/><w:sz w:val="24"/><w:szCs w:val="24"/><w:lang w:val="es-ES"/></w:rPr></w:r></w:p><w:p><w:pPr><w:pStyle w:val="style0"/><w:tabs><w:tab w:leader="none" w:pos="2190" w:val="left"/></w:tabs><w:spacing w:line="360" w:lineRule="auto"/><w:jc w:val="both"/></w:pPr><w:r><w:rPr><w:rFonts w:ascii="Times New Roman" w:hAnsi="Times New Roman"/><w:sz w:val="24"/><w:szCs w:val="24"/><w:lang w:val="es-ES"/></w:rPr><w:t xml:space="preserve">     </w:t></w:r><w:r><w:rPr><w:rFonts w:ascii="Times New Roman" w:hAnsi="Times New Roman"/><w:sz w:val="24"/><w:szCs w:val="24"/><w:lang w:val="es-ES"/></w:rPr><w:t xml:space="preserve">Como propósito final de esta investigación y en función del último objetivo específico, se presenta: </w:t></w:r><w:r><w:rPr><w:rFonts w:ascii="Times New Roman" w:hAnsi="Times New Roman"/><w:i/><w:sz w:val="24"/><w:szCs w:val="24"/><w:lang w:val="es-ES"/></w:rPr><w:t>Proponer un modelo de planificación financiera basado en el Balanced Scorecard para la maximización de beneficios del Frigorífico Industrial Carabobo (FRINCA) ubicado en el Municipio Valencia, Estado Carabobo</w:t></w:r><w:r><w:rPr><w:rFonts w:ascii="Times New Roman" w:hAnsi="Times New Roman"/><w:sz w:val="24"/><w:szCs w:val="24"/><w:lang w:val="es-ES"/></w:rPr><w:t xml:space="preserve">; es decir, crear un Cuadro de Mando Integral enfocado a la perspectiva financiera, basado en el análisis de salud de la empresa, a través del estudio de los indicadores financieros, en función a los estados financieros históricos, y la detección de las debilidades y fortalezas, tal y como ha sido desarrollado en los objetivos anteriores. En tal sentido, se exponen y describen detalladamente los pasos para llegar a la elaboración del Cuadro de Mando Integral enfocado a la perspectiva financiera, culminando con el plan de acción que le permitirá, a la empresa estudiada, orientación para el logro de la maximización de los beneficios. </w:t></w:r></w:p><w:p><w:pPr><w:pStyle w:val="style0"/><w:tabs><w:tab w:leader="none" w:pos="2190" w:val="left"/></w:tabs><w:spacing w:line="360" w:lineRule="auto"/><w:jc w:val="both"/></w:pPr><w:r><w:rPr><w:rFonts w:ascii="Times New Roman" w:hAnsi="Times New Roman"/><w:sz w:val="24"/><w:szCs w:val="24"/><w:lang w:val="es-ES"/></w:rPr></w:r></w:p><w:p><w:pPr><w:pStyle w:val="style0"/><w:tabs><w:tab w:leader="none" w:pos="2190" w:val="left"/></w:tabs><w:spacing w:after="720" w:before="0" w:line="360" w:lineRule="auto"/><w:jc w:val="both"/></w:pPr><w:r><w:rPr><w:rFonts w:ascii="Times New Roman" w:hAnsi="Times New Roman"/><w:b/><w:sz w:val="24"/><w:szCs w:val="24"/><w:lang w:val="es-ES"/></w:rPr><w:t>Justificación de la Propuesta</w:t></w:r></w:p><w:p><w:pPr><w:pStyle w:val="style0"/><w:tabs><w:tab w:leader="none" w:pos="2190" w:val="left"/></w:tabs><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En los últimos años, la empresa FRINCA, se ha visto en la necesidad de establecer un plan de gestión financiero a través del diseño de un Cuadro de Mando Integral (</w:t></w:r><w:r><w:rPr><w:rFonts w:ascii="Times New Roman" w:hAnsi="Times New Roman"/><w:i/><w:sz w:val="24"/><w:szCs w:val="24"/><w:lang w:val="es-ES"/></w:rPr><w:t>Balanced Score Card</w:t></w:r><w:r><w:rPr><w:rFonts w:ascii="Times New Roman" w:hAnsi="Times New Roman"/><w:sz w:val="24"/><w:szCs w:val="24"/><w:lang w:val="es-ES"/></w:rPr><w:t xml:space="preserve">) que sirva de soporte para la valorización de los resultados de la gestión empresarial. Esto con la finalidad de medir los resultados de la gestión para la presentación de los logros alcanzados, de acuerdo a los altos niveles óptimos en el rendimiento del mismo; lo que conllevaría a indicadores financieros con mejores resultados que indiquen mejora en la salud financiera de la empresa. </w:t></w:r></w:p><w:p><w:pPr><w:pStyle w:val="style0"/><w:tabs><w:tab w:leader="none" w:pos="2190" w:val="left"/></w:tabs><w:spacing w:after="720" w:before="0" w:line="360" w:lineRule="auto"/><w:jc w:val="both"/></w:pPr><w:r><w:rPr><w:rFonts w:ascii="Times New Roman" w:hAnsi="Times New Roman"/><w:b/><w:sz w:val="24"/><w:szCs w:val="24"/><w:lang w:val="es-VE"/></w:rPr><w:t>Análisis de Factibilidad</w:t></w:r></w:p><w:p><w:pPr><w:pStyle w:val="style0"/><w:tabs><w:tab w:leader="none" w:pos="2190" w:val="left"/></w:tabs><w:spacing w:after="720" w:before="0" w:line="360" w:lineRule="auto"/><w:jc w:val="both"/></w:pPr><w:r><w:rPr><w:rFonts w:ascii="Times New Roman" w:hAnsi="Times New Roman"/><w:b/><w:sz w:val="24"/><w:szCs w:val="24"/><w:lang w:val="es-VE"/></w:rPr><w:t>Factibilidad Económica</w:t></w:r></w:p><w:p><w:pPr><w:pStyle w:val="style0"/><w:tabs><w:tab w:leader="none" w:pos="2190" w:val="left"/></w:tabs><w:spacing w:after="720" w:before="0" w:line="360" w:lineRule="auto"/><w:jc w:val="both"/></w:pPr><w:r><w:rPr><w:rFonts w:ascii="Times New Roman" w:hAnsi="Times New Roman"/><w:sz w:val="24"/><w:szCs w:val="24"/><w:lang w:val="es-VE"/></w:rPr><w:t xml:space="preserve">     </w:t></w:r><w:r><w:rPr><w:rFonts w:ascii="Times New Roman" w:hAnsi="Times New Roman"/><w:sz w:val="24"/><w:szCs w:val="24"/><w:lang w:val="es-VE"/></w:rPr><w:t xml:space="preserve">La propuesta es viable económicamente, ya que para su implementación no es necesaria la contratación de un </w:t></w:r><w:r><w:rPr><w:rFonts w:ascii="Times New Roman" w:hAnsi="Times New Roman"/><w:i/><w:sz w:val="24"/><w:szCs w:val="24"/><w:lang w:val="es-VE"/></w:rPr><w:t>outsourcing</w:t></w:r><w:r><w:rPr><w:rFonts w:ascii="Times New Roman" w:hAnsi="Times New Roman"/><w:sz w:val="24"/><w:szCs w:val="24"/><w:lang w:val="es-VE"/></w:rPr><w:t xml:space="preserve"> o empresa especializada, ya que los cargos de alto nivel, responsables de transmitir a sus trabajadores los nuevos objetivos que la empresa desea adoptar para una mejora futura, y a su vez incorporarlos como organización para el logro de los mismos, serán los encargados de orientar la aplicación del plan propuesto. Estos factores deberán ser tomados en cuenta a la hora de su implementación, por lo cual este trabajo se limita a ello, debido a que solo es el planteamiento de un plan financiero con las características ya definidas. </w:t></w:r></w:p><w:p><w:pPr><w:pStyle w:val="style0"/><w:tabs><w:tab w:leader="none" w:pos="2190" w:val="left"/></w:tabs><w:spacing w:after="720" w:before="0" w:line="360" w:lineRule="auto"/><w:jc w:val="both"/></w:pPr><w:r><w:rPr><w:rFonts w:ascii="Times New Roman" w:hAnsi="Times New Roman"/><w:b/><w:sz w:val="24"/><w:szCs w:val="24"/><w:lang w:val="es-VE"/></w:rPr><w:t>Factibilidad Técnica y Operativa</w:t></w:r></w:p><w:p><w:pPr><w:pStyle w:val="style0"/><w:tabs><w:tab w:leader="none" w:pos="2190" w:val="left"/></w:tabs><w:spacing w:line="360" w:lineRule="auto"/><w:jc w:val="both"/></w:pPr><w:r><w:rPr><w:rFonts w:ascii="Times New Roman" w:hAnsi="Times New Roman"/><w:sz w:val="24"/><w:szCs w:val="24"/><w:lang w:val="es-VE"/></w:rPr><w:t xml:space="preserve">     </w:t></w:r><w:r><w:rPr><w:rFonts w:ascii="Times New Roman" w:hAnsi="Times New Roman"/><w:sz w:val="24"/><w:szCs w:val="24"/><w:lang w:val="es-VE"/></w:rPr><w:t xml:space="preserve">La empresa FRINCA posee la capacidad física, tecnológica y humana, los cuales son factores claves para hacer posible la implementación de la propuesta que contribuirá a lo establecido en el plan financiero de este trabajo. </w:t></w:r></w:p><w:p><w:pPr><w:pStyle w:val="style0"/><w:tabs><w:tab w:leader="none" w:pos="2190" w:val="left"/></w:tabs><w:spacing w:line="360" w:lineRule="auto"/><w:jc w:val="both"/></w:pPr><w:r><w:rPr><w:rFonts w:ascii="Times New Roman" w:hAnsi="Times New Roman"/><w:sz w:val="24"/><w:szCs w:val="24"/><w:lang w:val="es-VE"/></w:rPr></w:r></w:p><w:p><w:pPr><w:pStyle w:val="style0"/><w:tabs><w:tab w:leader="none" w:pos="2190" w:val="left"/></w:tabs><w:spacing w:after="720" w:before="0" w:line="360" w:lineRule="auto"/><w:jc w:val="both"/></w:pPr><w:r><w:rPr><w:rFonts w:ascii="Times New Roman" w:hAnsi="Times New Roman"/><w:b/><w:sz w:val="24"/><w:szCs w:val="24"/><w:lang w:val="es-VE"/></w:rPr><w:t>Objetivo General de la Propuesta</w:t></w:r></w:p><w:p><w:pPr><w:pStyle w:val="style0"/><w:tabs><w:tab w:leader="none" w:pos="6263" w:val="left"/></w:tabs><w:spacing w:after="720" w:before="60" w:line="360" w:lineRule="auto"/><w:jc w:val="both"/></w:pPr><w:r><w:rPr><w:rFonts w:ascii="Times New Roman" w:hAnsi="Times New Roman"/><w:sz w:val="24"/><w:szCs w:val="24"/><w:lang w:val="es-ES"/></w:rPr><w:t xml:space="preserve">     </w:t></w:r><w:r><w:rPr><w:rFonts w:ascii="Times New Roman" w:hAnsi="Times New Roman"/><w:sz w:val="24"/><w:szCs w:val="24"/><w:lang w:val="es-ES"/></w:rPr><w:t xml:space="preserve">Proponer un modelo de planificación financiera basado en el </w:t></w:r><w:r><w:rPr><w:rFonts w:ascii="Times New Roman" w:hAnsi="Times New Roman"/><w:i/><w:sz w:val="24"/><w:szCs w:val="24"/><w:lang w:val="es-ES"/></w:rPr><w:t>Balanced Scorecard</w:t></w:r><w:r><w:rPr><w:rFonts w:ascii="Times New Roman" w:hAnsi="Times New Roman"/><w:sz w:val="24"/><w:szCs w:val="24"/><w:lang w:val="es-ES"/></w:rPr><w:t xml:space="preserve"> para la maximización de beneficios del Frigorífico Industrial Carabobo (FRINCA) ubicado en el Municipio Valencia, Estado Carabobo.</w:t></w:r></w:p><w:p><w:pPr><w:pStyle w:val="style0"/><w:tabs><w:tab w:leader="none" w:pos="2190" w:val="left"/></w:tabs><w:spacing w:after="720" w:before="0" w:line="360" w:lineRule="auto"/><w:jc w:val="both"/></w:pPr><w:r><w:rPr><w:rFonts w:ascii="Times New Roman" w:hAnsi="Times New Roman"/><w:b/><w:sz w:val="24"/><w:szCs w:val="24"/><w:lang w:val="es-VE"/></w:rPr><w:t>Objetivos Específicos de la Propuesta</w:t></w:r></w:p><w:p><w:pPr><w:pStyle w:val="style0"/><w:numPr><w:ilvl w:val="0"/><w:numId w:val="11"/></w:numPr><w:tabs><w:tab w:leader="none" w:pos="709" w:val="left"/></w:tabs><w:spacing w:line="360" w:lineRule="auto"/><w:jc w:val="both"/></w:pPr><w:r><w:rPr><w:rFonts w:ascii="Times New Roman" w:hAnsi="Times New Roman"/><w:sz w:val="24"/><w:szCs w:val="24"/><w:lang w:val="es-VE"/></w:rPr><w:t>Definir el Sector y el Papel de la Empresa FRINCA.</w:t></w:r></w:p><w:p><w:pPr><w:pStyle w:val="style0"/><w:numPr><w:ilvl w:val="0"/><w:numId w:val="11"/></w:numPr><w:tabs><w:tab w:leader="none" w:pos="709" w:val="left"/></w:tabs><w:spacing w:line="360" w:lineRule="auto"/><w:jc w:val="both"/></w:pPr><w:r><w:rPr><w:rFonts w:ascii="Times New Roman" w:hAnsi="Times New Roman"/><w:sz w:val="24"/><w:szCs w:val="24"/><w:lang w:val="es-VE"/></w:rPr><w:t xml:space="preserve">Describir la Visión y Misión de FRINCA. </w:t></w:r></w:p><w:p><w:pPr><w:pStyle w:val="style0"/><w:numPr><w:ilvl w:val="0"/><w:numId w:val="11"/></w:numPr><w:tabs><w:tab w:leader="none" w:pos="709" w:val="left"/></w:tabs><w:spacing w:line="360" w:lineRule="auto"/><w:jc w:val="both"/></w:pPr><w:r><w:rPr><w:rFonts w:ascii="Times New Roman" w:hAnsi="Times New Roman"/><w:sz w:val="24"/><w:szCs w:val="24"/><w:lang w:val="es-VE"/></w:rPr><w:t>Establecer la Perspectiva Financiera de la Empresa FRINCA.</w:t></w:r></w:p><w:p><w:pPr><w:pStyle w:val="style0"/><w:numPr><w:ilvl w:val="0"/><w:numId w:val="11"/></w:numPr><w:tabs><w:tab w:leader="none" w:pos="709" w:val="left"/></w:tabs><w:spacing w:line="360" w:lineRule="auto"/><w:jc w:val="both"/></w:pPr><w:r><w:rPr><w:rFonts w:ascii="Times New Roman" w:hAnsi="Times New Roman"/><w:sz w:val="24"/><w:szCs w:val="24"/><w:lang w:val="es-VE"/></w:rPr><w:t>Incorporar otros indicadores al análisis de sus Estados Financieros.</w:t></w:r></w:p><w:p><w:pPr><w:pStyle w:val="style0"/><w:numPr><w:ilvl w:val="0"/><w:numId w:val="11"/></w:numPr><w:tabs><w:tab w:leader="none" w:pos="709" w:val="left"/></w:tabs><w:spacing w:line="360" w:lineRule="auto"/><w:jc w:val="both"/></w:pPr><w:r><w:rPr><w:rFonts w:ascii="Times New Roman" w:hAnsi="Times New Roman"/><w:sz w:val="24"/><w:szCs w:val="24"/><w:lang w:val="es-VE"/></w:rPr><w:t>Proponer el Cuadro de Mando Integral desde la óptica de la Perspectiva Financiera.</w:t></w:r></w:p><w:p><w:pPr><w:pStyle w:val="style0"/></w:pPr><w:r><w:rPr><w:lang w:val="es-VE"/></w:rPr></w:r></w:p><w:p><w:pPr><w:pStyle w:val="style0"/><w:spacing w:after="720" w:before="0"/></w:pPr><w:r><w:rPr><w:rFonts w:ascii="Times New Roman" w:hAnsi="Times New Roman"/><w:b/><w:sz w:val="24"/><w:lang w:val="es-VE"/></w:rPr><w:t>Definición del Sector y Papel de la Empresa FRINCA</w:t></w:r></w:p><w:p><w:pPr><w:pStyle w:val="style0"/><w:spacing w:after="720" w:before="0" w:line="360" w:lineRule="auto"/><w:jc w:val="both"/></w:pPr><w:r><w:rPr><w:rFonts w:ascii="Times New Roman" w:hAnsi="Times New Roman"/><w:sz w:val="24"/><w:lang w:val="es-VE"/></w:rPr><w:t xml:space="preserve">     </w:t></w:r><w:r><w:rPr><w:rFonts w:ascii="Times New Roman" w:hAnsi="Times New Roman"/><w:sz w:val="24"/><w:lang w:val="es-VE"/></w:rPr><w:t>El sector cárnico, específicamente se encarga de actividades relacionadas al “beneficio” de bovinos y porcinos.  Así como la comercialización de sub-productos de reses y cerdos.</w:t></w:r></w:p><w:p><w:pPr><w:pStyle w:val="style0"/><w:spacing w:line="360" w:lineRule="auto"/><w:jc w:val="both"/></w:pPr><w:r><w:rPr><w:rFonts w:ascii="Times New Roman" w:hAnsi="Times New Roman"/><w:sz w:val="24"/><w:szCs w:val="24"/><w:lang w:val="es-VE"/></w:rPr><w:t xml:space="preserve">     </w:t></w:r><w:r><w:rPr><w:rFonts w:ascii="Times New Roman" w:hAnsi="Times New Roman"/><w:sz w:val="24"/><w:szCs w:val="24"/><w:lang w:val="es-VE"/></w:rPr><w:t xml:space="preserve">La empresa se encarga de prestar el servicio de “beneficio” de reses y cerdos; y a su vez de la venta, otros ingresos, de los subproductos. La ubicación de la empresa  es en el Estado Carabobo, Valencia, Parroquia Santa Rosa, Final Prolongación Calle 73 Sector la Isabela Barrio Aquiles Nazoa. Cuenta con aproximadamente 160 obreros y 200 empleados administrativos. Quienes suplen a 50 mayoristas independientes de la Región Central de Venezuela. </w:t></w:r></w:p><w:p><w:pPr><w:pStyle w:val="style0"/><w:spacing w:line="360" w:lineRule="auto"/><w:jc w:val="both"/></w:pPr><w:r><w:rPr><w:rFonts w:ascii="Times New Roman" w:hAnsi="Times New Roman"/><w:sz w:val="24"/><w:szCs w:val="24"/><w:lang w:val="es-VE"/></w:rPr></w:r></w:p><w:p><w:pPr><w:pStyle w:val="style0"/><w:spacing w:after="720" w:before="0" w:line="360" w:lineRule="auto"/><w:jc w:val="both"/></w:pPr><w:r><w:rPr><w:rFonts w:ascii="Times New Roman" w:hAnsi="Times New Roman"/><w:b/><w:sz w:val="24"/><w:szCs w:val="24"/><w:lang w:val="es-VE"/></w:rPr><w:t>Descripción de la Visión y Misión de FRINCA</w:t></w:r></w:p><w:p><w:pPr><w:pStyle w:val="style0"/><w:spacing w:after="720" w:before="0" w:line="360" w:lineRule="auto"/><w:jc w:val="both"/></w:pPr><w:r><w:rPr><w:rFonts w:ascii="Times New Roman" w:hAnsi="Times New Roman"/><w:sz w:val="24"/><w:szCs w:val="24"/><w:lang w:val="es-VE"/></w:rPr><w:t xml:space="preserve">     </w:t></w:r><w:r><w:rPr><w:rFonts w:ascii="Times New Roman" w:hAnsi="Times New Roman"/><w:sz w:val="24"/><w:szCs w:val="24"/><w:lang w:val="es-VE"/></w:rPr><w:t>Visión: Posicionarnos como el Frigorífico líder a Nivel Nacional, reconocido por la calidad y seguridad de nuestros servicios.</w:t></w:r></w:p><w:p><w:pPr><w:pStyle w:val="style0"/><w:spacing w:line="360" w:lineRule="auto"/><w:jc w:val="both"/></w:pPr><w:r><w:rPr><w:rFonts w:ascii="Times New Roman" w:hAnsi="Times New Roman"/><w:sz w:val="24"/><w:szCs w:val="24"/><w:lang w:val="es-VE"/></w:rPr><w:t xml:space="preserve">     </w:t></w:r><w:r><w:rPr><w:rFonts w:ascii="Times New Roman" w:hAnsi="Times New Roman"/><w:sz w:val="24"/><w:szCs w:val="24"/><w:lang w:val="es-VE"/></w:rPr><w:t>Misión: Ser una empresa que satisface las necesidades del servicio de beneficio de ganado Bovino, Bufalino, Porcino y Caprino, a los productores y mayoristas de carne en la región central del país, sustentando el crecimiento empresarial en personal calificado, tecnología de punta, innovación de procesos y responsabilidad social.</w:t></w:r></w:p><w:p><w:pPr><w:pStyle w:val="style0"/><w:spacing w:line="360" w:lineRule="auto"/><w:jc w:val="both"/></w:pPr><w:r><w:rPr><w:rFonts w:ascii="Times New Roman" w:hAnsi="Times New Roman"/><w:b/><w:sz w:val="24"/><w:szCs w:val="24"/><w:lang w:val="es-VE"/></w:rPr></w:r></w:p><w:p><w:pPr><w:pStyle w:val="style0"/><w:spacing w:line="360" w:lineRule="auto"/><w:jc w:val="both"/></w:pPr><w:r><w:rPr><w:rFonts w:ascii="Times New Roman" w:hAnsi="Times New Roman"/><w:b/><w:sz w:val="24"/><w:szCs w:val="24"/><w:lang w:val="es-VE"/></w:rPr><w:t xml:space="preserve">Establecimiento de la Perspectiva Financiera de la Empresa FRINCA </w:t></w:r></w:p><w:p><w:pPr><w:pStyle w:val="style0"/><w:spacing w:line="360" w:lineRule="auto"/><w:jc w:val="both"/></w:pPr><w:r><w:rPr><w:rFonts w:ascii="Times New Roman" w:hAnsi="Times New Roman"/><w:b/><w:sz w:val="24"/><w:szCs w:val="24"/><w:lang w:val="es-VE"/></w:rPr></w:r></w:p><w:tbl><w:tblPr><w:jc w:val="left"/><w:tblInd w:type="dxa" w:w="-108"/><w:tblBorders><w:top w:color="000001" w:space="0" w:sz="4" w:val="single"/><w:left w:color="000001" w:space="0" w:sz="4" w:val="single"/><w:bottom w:color="000001" w:space="0" w:sz="4" w:val="single"/><w:right w:color="000001" w:space="0" w:sz="4" w:val="single"/></w:tblBorders></w:tblPr><w:tblGrid><w:gridCol w:w="4038"/><w:gridCol w:w="4038"/></w:tblGrid><w:tr><w:trPr><w:cantSplit w:val="false"/></w:trPr><w:tc><w:tcPr><w:tcW w:type="dxa" w:w="403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360" w:lineRule="auto"/><w:jc w:val="center"/></w:pPr><w:r><w:rPr><w:rFonts w:ascii="Times New Roman" w:hAnsi="Times New Roman"/><w:sz w:val="24"/><w:szCs w:val="24"/><w:lang w:val="es-VE"/></w:rPr><w:t>Condiciones Actuales</w:t></w:r></w:p></w:tc><w:tc><w:tcPr><w:tcW w:type="dxa" w:w="403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360" w:lineRule="auto"/><w:jc w:val="center"/></w:pPr><w:r><w:rPr><w:rFonts w:ascii="Times New Roman" w:hAnsi="Times New Roman"/><w:sz w:val="24"/><w:szCs w:val="24"/><w:lang w:val="es-VE"/></w:rPr><w:t>Propuestas de Inversión</w:t></w:r></w:p></w:tc></w:tr><w:tr><w:trPr><w:cantSplit w:val="false"/></w:trPr><w:tc><w:tcPr><w:tcW w:type="dxa" w:w="403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w:jc w:val="center"/></w:pPr><w:r><w:rPr><w:rFonts w:ascii="Times New Roman" w:hAnsi="Times New Roman"/><w:b/><w:sz w:val="24"/><w:szCs w:val="24"/><w:lang w:val="es-VE"/></w:rPr><w:t>Capacidad Instalada</w:t></w:r></w:p><w:p><w:pPr><w:pStyle w:val="style0"/><w:spacing w:after="0" w:before="0"/><w:jc w:val="both"/></w:pPr><w:r><w:rPr><w:rFonts w:ascii="Times New Roman" w:hAnsi="Times New Roman"/><w:sz w:val="24"/><w:szCs w:val="24"/><w:lang w:val="es-VE"/></w:rPr><w:t xml:space="preserve">1. </w:t></w:r><w:r><w:rPr><w:rFonts w:ascii="Times New Roman" w:hAnsi="Times New Roman"/><w:sz w:val="24"/><w:szCs w:val="24"/><w:u w:val="single"/><w:lang w:val="es-VE"/></w:rPr><w:t>Capacidad Instalada de Corrales</w:t></w:r><w:r><w:rPr><w:rFonts w:ascii="Times New Roman" w:hAnsi="Times New Roman"/><w:sz w:val="24"/><w:szCs w:val="24"/><w:lang w:val="es-VE"/></w:rPr><w:t xml:space="preserve"> </w:t></w:r></w:p><w:p><w:pPr><w:pStyle w:val="style0"/><w:spacing w:after="0" w:before="0"/><w:jc w:val="both"/></w:pPr><w:r><w:rPr><w:rFonts w:ascii="Times New Roman" w:hAnsi="Times New Roman"/><w:sz w:val="24"/><w:szCs w:val="24"/><w:lang w:val="es-VE"/></w:rPr><w:t>-Bovinos: 1.200 reses</w:t></w:r></w:p><w:p><w:pPr><w:pStyle w:val="style0"/><w:spacing w:after="0" w:before="0"/><w:jc w:val="both"/></w:pPr><w:r><w:rPr><w:rFonts w:ascii="Times New Roman" w:hAnsi="Times New Roman"/><w:sz w:val="24"/><w:szCs w:val="24"/><w:lang w:val="es-VE"/></w:rPr><w:t>-Porcinos: 1.300 cerdos</w:t></w:r></w:p><w:p><w:pPr><w:pStyle w:val="style0"/><w:spacing w:after="0" w:before="0"/><w:jc w:val="both"/></w:pPr><w:r><w:rPr><w:rFonts w:ascii="Times New Roman" w:hAnsi="Times New Roman"/><w:sz w:val="24"/><w:szCs w:val="24"/><w:lang w:val="es-VE"/></w:rPr><w:t xml:space="preserve">2. </w:t></w:r><w:r><w:rPr><w:rFonts w:ascii="Times New Roman" w:hAnsi="Times New Roman"/><w:sz w:val="24"/><w:szCs w:val="24"/><w:u w:val="single"/><w:lang w:val="es-VE"/></w:rPr><w:t>Capacidad Instalada en las Cavas de Refrigeración</w:t></w:r></w:p><w:p><w:pPr><w:pStyle w:val="style0"/><w:spacing w:after="0" w:before="0"/><w:jc w:val="both"/></w:pPr><w:r><w:rPr><w:rFonts w:ascii="Times New Roman" w:hAnsi="Times New Roman"/><w:sz w:val="24"/><w:szCs w:val="24"/><w:lang w:val="es-VE"/></w:rPr><w:t xml:space="preserve">-Bovinos: 500 reses </w:t></w:r></w:p><w:p><w:pPr><w:pStyle w:val="style0"/><w:spacing w:after="0" w:before="0"/><w:jc w:val="both"/></w:pPr><w:r><w:rPr><w:rFonts w:ascii="Times New Roman" w:hAnsi="Times New Roman"/><w:sz w:val="24"/><w:szCs w:val="24"/><w:lang w:val="es-VE"/></w:rPr><w:t>-Porcinos: 900 cerdos</w:t></w:r></w:p><w:p><w:pPr><w:pStyle w:val="style0"/><w:spacing w:after="0" w:before="0"/><w:jc w:val="both"/></w:pPr><w:r><w:rPr><w:rFonts w:ascii="Times New Roman" w:hAnsi="Times New Roman"/><w:sz w:val="24"/><w:szCs w:val="24"/><w:lang w:val="es-VE"/></w:rPr></w:r></w:p><w:p><w:pPr><w:pStyle w:val="style0"/><w:spacing w:after="0" w:before="0"/><w:jc w:val="center"/></w:pPr><w:r><w:rPr><w:rFonts w:ascii="Times New Roman" w:hAnsi="Times New Roman"/><w:b/><w:sz w:val="24"/><w:szCs w:val="24"/><w:lang w:val="es-VE"/></w:rPr><w:t>Relación De Matanza</w:t></w:r></w:p><w:p><w:pPr><w:pStyle w:val="style0"/><w:spacing w:after="0" w:before="0"/><w:jc w:val="center"/></w:pPr><w:r><w:rPr><w:rFonts w:ascii="Times New Roman" w:hAnsi="Times New Roman"/><w:b/><w:sz w:val="24"/><w:szCs w:val="24"/><w:lang w:val="es-VE"/></w:rPr><w:t>(Promedio)</w:t></w:r></w:p><w:p><w:pPr><w:pStyle w:val="style0"/><w:spacing w:after="0" w:before="0"/><w:jc w:val="both"/></w:pPr><w:r><w:rPr><w:rFonts w:ascii="Times New Roman" w:hAnsi="Times New Roman"/><w:sz w:val="24"/><w:szCs w:val="24"/><w:lang w:val="es-VE"/></w:rPr><w:t xml:space="preserve">1. </w:t></w:r><w:r><w:rPr><w:rFonts w:ascii="Times New Roman" w:hAnsi="Times New Roman"/><w:sz w:val="24"/><w:szCs w:val="24"/><w:u w:val="single"/><w:lang w:val="es-VE"/></w:rPr><w:t>Ganado Bovino:</w:t></w:r><w:r><w:rPr><w:rFonts w:ascii="Times New Roman" w:hAnsi="Times New Roman"/><w:sz w:val="24"/><w:szCs w:val="24"/><w:lang w:val="es-VE"/></w:rPr><w:t xml:space="preserve"> 3.200 reses/mes</w:t></w:r></w:p><w:p><w:pPr><w:pStyle w:val="style0"/><w:spacing w:after="0" w:before="0"/><w:jc w:val="both"/></w:pPr><w:r><w:rPr><w:rFonts w:ascii="Times New Roman" w:hAnsi="Times New Roman"/><w:sz w:val="24"/><w:szCs w:val="24"/><w:lang w:val="es-VE"/></w:rPr><w:t xml:space="preserve">2. </w:t></w:r><w:r><w:rPr><w:rFonts w:ascii="Times New Roman" w:hAnsi="Times New Roman"/><w:sz w:val="24"/><w:szCs w:val="24"/><w:u w:val="single"/><w:lang w:val="es-VE"/></w:rPr><w:t>Ganado Porcino</w:t></w:r><w:r><w:rPr><w:rFonts w:ascii="Times New Roman" w:hAnsi="Times New Roman"/><w:sz w:val="24"/><w:szCs w:val="24"/><w:lang w:val="es-VE"/></w:rPr><w:t xml:space="preserve">: 15.200 cerdos/mes </w:t></w:r></w:p></w:tc><w:tc><w:tcPr><w:tcW w:type="dxa" w:w="403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spacing w:after="0" w:before="0" w:line="360" w:lineRule="auto"/><w:jc w:val="both"/></w:pPr><w:r><w:rPr><w:rFonts w:ascii="Times New Roman" w:hAnsi="Times New Roman"/><w:sz w:val="24"/><w:szCs w:val="24"/><w:lang w:val="es-VE"/></w:rPr><w:t>1. Proyecto de Adquisición de Calderas (Reposición).</w:t></w:r></w:p><w:p><w:pPr><w:pStyle w:val="style0"/><w:spacing w:after="0" w:before="0" w:line="360" w:lineRule="auto"/><w:jc w:val="both"/></w:pPr><w:r><w:rPr><w:rFonts w:ascii="Times New Roman" w:hAnsi="Times New Roman"/><w:sz w:val="24"/><w:szCs w:val="24"/><w:lang w:val="es-VE"/></w:rPr><w:t>2. Proyecto de Ampliación del Área de Porcino y Adquisición de Máquina Peladora.</w:t></w:r></w:p></w:tc></w:tr></w:tbl><w:p><w:pPr><w:pStyle w:val="style0"/><w:spacing w:line="360" w:lineRule="auto"/><w:jc w:val="both"/></w:pPr><w:r><w:rPr><w:rFonts w:ascii="Times New Roman" w:hAnsi="Times New Roman"/><w:b/><w:sz w:val="24"/><w:szCs w:val="24"/><w:lang w:val="es-VE"/></w:rPr></w:r></w:p><w:p><w:pPr><w:pStyle w:val="style0"/><w:spacing w:line="360" w:lineRule="auto"/><w:jc w:val="both"/></w:pPr><w:r><w:rPr><w:rFonts w:ascii="Times New Roman" w:hAnsi="Times New Roman"/><w:sz w:val="24"/><w:szCs w:val="24"/><w:lang w:val="es-VE"/></w:rPr><w:t xml:space="preserve">     </w:t></w:r><w:r><w:rPr><w:rFonts w:ascii="Times New Roman" w:hAnsi="Times New Roman"/><w:sz w:val="24"/><w:szCs w:val="24"/><w:lang w:val="es-VE"/></w:rPr><w:t>Desde el punto de vista financiero, dada las condiciones actuales de la empresa, donde se requiere de una optimización en la rentabilidad y demás resultados financieros, se debe establecer estrategias orientadas al uso eficiente de los recursos (activos y capital de trabajo) con el fin de alcanzar niveles óptimos que permiten una mayor operatividad de la empresa, traduciéndose a su vez en mayores ingresos a la misma. Por tanto, al realizar la incorporación de las propuestas de inversión acompañada de una administración financiera que permita la fluidez necesaria para cubrir con los costos operativos y declarar ganancias, puede conllevar a la empresa a ser un modelo representativo para las demás empresas del sector en la Región Central, caracterizada por una capacidad instalada mayor e ingresos por concepto de “beneficio” de ganado y venta de sub-productos superior a la actual.</w:t></w:r></w:p><w:p><w:pPr><w:pStyle w:val="style0"/><w:spacing w:line="360" w:lineRule="auto"/><w:jc w:val="both"/></w:pPr><w:r><w:rPr><w:rFonts w:ascii="Times New Roman" w:hAnsi="Times New Roman"/><w:b/><w:sz w:val="24"/><w:szCs w:val="24"/><w:lang w:val="es-VE"/></w:rPr></w:r></w:p><w:p><w:pPr><w:pStyle w:val="style0"/><w:spacing w:after="720" w:before="0" w:line="360" w:lineRule="auto"/><w:jc w:val="both"/></w:pPr><w:r><w:rPr><w:rFonts w:ascii="Times New Roman" w:hAnsi="Times New Roman"/><w:b/><w:sz w:val="24"/><w:szCs w:val="24"/><w:lang w:val="es-VE"/></w:rPr><w:t>Incorporación de otros indicadores al análisis de sus Estados Financieros</w:t></w:r></w:p><w:p><w:pPr><w:pStyle w:val="style0"/><w:spacing w:after="720" w:before="0" w:line="360" w:lineRule="auto"/><w:jc w:val="both"/></w:pPr><w:r><w:rPr><w:rFonts w:ascii="Times New Roman" w:hAnsi="Times New Roman"/><w:sz w:val="24"/><w:szCs w:val="24"/><w:lang w:val="es-VE"/></w:rPr><w:t xml:space="preserve">     </w:t></w:r><w:r><w:rPr><w:rFonts w:ascii="Times New Roman" w:hAnsi="Times New Roman"/><w:sz w:val="24"/><w:szCs w:val="24"/><w:lang w:val="es-VE"/></w:rPr><w:t>Para continuar con el análisis financiero de la empresa, Sánchez (s/f), establece otros indicadores, que para el momento de realizar este trabajo, no fue posible su cálculo dada la estructura de los estados financieros de FRINCA; por tanto al modificar la presentación de dicha información, se puede hacer la inclusión de los indicadores, cuya definición, según el autor antes señalado, se presentan a continuación:</w:t></w:r></w:p><w:p><w:pPr><w:pStyle w:val="style0"/><w:numPr><w:ilvl w:val="0"/><w:numId w:val="13"/></w:numPr><w:spacing w:after="720" w:before="0" w:line="360" w:lineRule="auto"/><w:ind w:hanging="0" w:left="0" w:right="0"/><w:jc w:val="both"/></w:pPr><w:r><w:rPr><w:rFonts w:ascii="Times New Roman" w:hAnsi="Times New Roman"/><w:sz w:val="24"/><w:szCs w:val="24"/><w:lang w:val="es-VE"/></w:rPr><w:t xml:space="preserve">Razones de Liquidez: </w:t></w:r></w:p><w:p><w:pPr><w:pStyle w:val="style0"/><w:numPr><w:ilvl w:val="0"/><w:numId w:val="12"/></w:numPr><w:spacing w:after="720" w:before="0" w:line="360" w:lineRule="auto"/><w:ind w:hanging="357" w:left="714" w:right="0"/><w:jc w:val="both"/></w:pPr><w:r><w:rPr><w:rFonts w:ascii="Times New Roman" w:hAnsi="Times New Roman"/><w:sz w:val="24"/><w:szCs w:val="24"/><w:lang w:val="es-VE"/></w:rPr><w:t xml:space="preserve">Prueba o razón ácida: </w:t></w:r></w:p><w:p><w:pPr><w:pStyle w:val="style0"/><w:spacing w:after="720" w:before="0" w:line="100" w:lineRule="atLeast"/><w:ind w:hanging="0" w:left="567" w:right="566"/><w:jc w:val="both"/></w:pPr><w:r><w:rPr><w:rFonts w:ascii="Times New Roman" w:hAnsi="Times New Roman"/><w:sz w:val="24"/><w:szCs w:val="24"/><w:lang w:val="es-VE"/></w:rPr><w:t>Se deriva de la anterior, ya que a la inversión a corto plazo se le extrae el inventario, por considerarse un activo muy poco líquido. Mide entonces el número de unidades monetarias en inversión líquida por cada unidad monetaria de pasivo a corto plazo.</w:t></w:r></w:p><w:p><w:pPr><w:pStyle w:val="style0"/><w:spacing w:after="720" w:before="0" w:line="100" w:lineRule="atLeast"/><w:ind w:hanging="0" w:left="0" w:right="-1"/><w:jc w:val="center"/></w:pPr><w:r><w:rPr><w:rFonts w:ascii="Times New Roman" w:hAnsi="Times New Roman"/><w:b/><w:sz w:val="24"/><w:szCs w:val="24"/><w:lang w:val="es-VE"/></w:rPr><w:t>Prueba Ácida= (Activo Circulante-Inventario)/Pasivo Circulante</w:t></w:r></w:p><w:p><w:pPr><w:pStyle w:val="style0"/><w:spacing w:after="0" w:before="0" w:line="100" w:lineRule="atLeast"/><w:ind w:hanging="0" w:left="0" w:right="-1"/><w:jc w:val="center"/></w:pPr><w:r><w:rPr><w:rFonts w:ascii="Times New Roman" w:hAnsi="Times New Roman"/><w:b/><w:sz w:val="24"/><w:szCs w:val="24"/><w:lang w:val="es-VE"/></w:rPr></w:r></w:p><w:p><w:pPr><w:pStyle w:val="style0"/><w:numPr><w:ilvl w:val="0"/><w:numId w:val="12"/></w:numPr><w:spacing w:after="720" w:before="0" w:line="100" w:lineRule="atLeast"/><w:ind w:hanging="0" w:left="0" w:right="-1"/><w:jc w:val="both"/></w:pPr><w:r><w:rPr><w:rFonts w:ascii="Times New Roman" w:hAnsi="Times New Roman"/><w:sz w:val="24"/><w:szCs w:val="24"/><w:lang w:val="es-VE"/></w:rPr><w:t>Cobertura de pagos:</w:t></w:r></w:p><w:p><w:pPr><w:pStyle w:val="style0"/><w:spacing w:after="720" w:before="0" w:line="100" w:lineRule="atLeast"/><w:ind w:hanging="0" w:left="567" w:right="566"/><w:jc w:val="both"/></w:pPr><w:r><w:rPr><w:rFonts w:ascii="Times New Roman" w:hAnsi="Times New Roman"/><w:sz w:val="24"/><w:szCs w:val="24"/><w:lang w:val="es-VE"/></w:rPr><w:t xml:space="preserve">No es exactamente un índice financiero puesto que no puede ser calculado a partir de los estados financieros. Es más bien una herramienta utilizada en el momento de preparar un flujo de caja o </w:t></w:r><w:r><w:rPr><w:rFonts w:ascii="Times New Roman" w:hAnsi="Times New Roman"/><w:i/><w:sz w:val="24"/><w:szCs w:val="24"/><w:lang w:val="es-VE"/></w:rPr><w:t>cash flow</w:t></w:r><w:r><w:rPr><w:rFonts w:ascii="Times New Roman" w:hAnsi="Times New Roman"/><w:sz w:val="24"/><w:szCs w:val="24"/><w:lang w:val="es-VE"/></w:rPr><w:t xml:space="preserve"> para evaluar cómo se afectaría la capacidad de pago, en la hipotética situación en que la empresa tenga que paralizar sus actividades.</w:t></w:r></w:p><w:p><w:pPr><w:pStyle w:val="style0"/><w:spacing w:after="0" w:before="0" w:line="100" w:lineRule="atLeast"/><w:ind w:hanging="0" w:left="0" w:right="-1"/><w:jc w:val="center"/></w:pPr><w:r><w:rPr><w:rFonts w:ascii="Times New Roman" w:hAnsi="Times New Roman"/><w:b/><w:sz w:val="24"/><w:szCs w:val="24"/><w:lang w:val="es-VE"/></w:rPr><w:t>Cobertura de Pagos = (Efectivo y Equivalente de Efectivo + Cuentas por Cobrar)/Pagos de Efectivo</w:t></w:r></w:p><w:p><w:pPr><w:pStyle w:val="style0"/><w:spacing w:after="0" w:before="0" w:line="100" w:lineRule="atLeast"/><w:ind w:hanging="0" w:left="0" w:right="-1"/><w:jc w:val="center"/></w:pPr><w:r><w:rPr><w:rFonts w:ascii="Times New Roman" w:hAnsi="Times New Roman"/><w:b/><w:sz w:val="24"/><w:szCs w:val="24"/><w:lang w:val="es-VE"/></w:rPr></w:r></w:p><w:p><w:pPr><w:pStyle w:val="style0"/><w:spacing w:after="0" w:before="0" w:line="100" w:lineRule="atLeast"/><w:ind w:hanging="0" w:left="0" w:right="566"/><w:jc w:val="center"/></w:pPr><w:r><w:rPr><w:rFonts w:ascii="Times New Roman" w:hAnsi="Times New Roman"/><w:b/><w:sz w:val="24"/><w:szCs w:val="24"/><w:lang w:val="es-VE"/></w:rPr></w:r></w:p><w:p><w:pPr><w:pStyle w:val="style0"/><w:numPr><w:ilvl w:val="0"/><w:numId w:val="13"/></w:numPr><w:spacing w:after="720" w:before="0" w:line="100" w:lineRule="atLeast"/><w:ind w:hanging="0" w:left="0" w:right="567"/><w:jc w:val="both"/></w:pPr><w:r><w:rPr><w:rFonts w:ascii="Times New Roman" w:hAnsi="Times New Roman"/><w:sz w:val="24"/><w:szCs w:val="24"/><w:lang w:val="es-VE"/></w:rPr><w:t>Razones de Apalancamiento:</w:t></w:r></w:p><w:p><w:pPr><w:pStyle w:val="style0"/><w:numPr><w:ilvl w:val="0"/><w:numId w:val="14"/></w:numPr><w:spacing w:after="720" w:before="0" w:line="100" w:lineRule="atLeast"/><w:ind w:hanging="0" w:left="0" w:right="567"/><w:jc w:val="both"/></w:pPr><w:r><w:rPr><w:rFonts w:ascii="Times New Roman" w:hAnsi="Times New Roman"/><w:sz w:val="24"/><w:szCs w:val="24"/><w:lang w:val="es-VE"/></w:rPr><w:t>Razón de Capitalización Externa</w:t></w:r></w:p><w:p><w:pPr><w:pStyle w:val="style0"/><w:spacing w:after="0" w:before="0" w:line="100" w:lineRule="atLeast"/><w:ind w:hanging="0" w:left="567" w:right="616"/><w:jc w:val="both"/></w:pPr><w:r><w:rPr><w:rFonts w:ascii="Times New Roman" w:hAnsi="Times New Roman"/><w:sz w:val="24"/><w:szCs w:val="24"/><w:lang w:val="es-VE"/></w:rPr><w:t>Modernamente se considera que el capital de una empresa no está compuesto solamente por los aportes que hacen los propietarios, sino que también debe ser considerado como tal, el aporte a largo plazo que puedan hacer los terceros. De allí que se defina la capitalización como la sumatoria del patrimonio de la empresa y los recursos contratados a largo plazo: ie: patrimonio más pasivo a largo plazo. La razón de capitalización externa mide la proporción en que entra el aporte de terceros en la capitalización de la empresa.</w:t></w:r></w:p><w:p><w:pPr><w:pStyle w:val="style0"/><w:spacing w:after="0" w:before="0" w:line="100" w:lineRule="atLeast"/><w:ind w:hanging="0" w:left="567" w:right="566"/><w:jc w:val="both"/></w:pPr><w:r><w:rPr><w:rFonts w:ascii="Times New Roman" w:hAnsi="Times New Roman"/><w:sz w:val="24"/><w:szCs w:val="24"/><w:lang w:val="es-VE"/></w:rPr></w:r></w:p><w:p><w:pPr><w:pStyle w:val="style0"/><w:tabs><w:tab w:leader="none" w:pos="7088" w:val="left"/></w:tabs><w:spacing w:after="0" w:before="0" w:line="100" w:lineRule="atLeast"/><w:ind w:hanging="0" w:left="0" w:right="-1"/><w:jc w:val="center"/></w:pPr><w:r><w:rPr><w:rFonts w:ascii="Times New Roman" w:hAnsi="Times New Roman"/><w:b/><w:sz w:val="24"/><w:szCs w:val="24"/><w:lang w:val="es-VE"/></w:rPr></w:r></w:p><w:p><w:pPr><w:pStyle w:val="style0"/><w:tabs><w:tab w:leader="none" w:pos="7088" w:val="left"/></w:tabs><w:spacing w:after="0" w:before="0" w:line="100" w:lineRule="atLeast"/><w:ind w:hanging="0" w:left="0" w:right="-1"/><w:jc w:val="center"/></w:pPr><w:r><w:rPr><w:rFonts w:ascii="Times New Roman" w:hAnsi="Times New Roman"/><w:b/><w:sz w:val="24"/><w:szCs w:val="24"/><w:lang w:val="es-VE"/></w:rPr><w:t>Capitalización Externa = Deuda a Largo Plazo / (Patrimonio + Deuda a Largo Plazo)</w:t></w:r></w:p><w:p><w:pPr><w:pStyle w:val="style0"/><w:tabs><w:tab w:leader="none" w:pos="7088" w:val="left"/></w:tabs><w:spacing w:after="0" w:before="0" w:line="100" w:lineRule="atLeast"/><w:ind w:hanging="0" w:left="0" w:right="-1"/><w:jc w:val="center"/></w:pPr><w:r><w:rPr><w:rFonts w:ascii="Times New Roman" w:hAnsi="Times New Roman"/><w:b/><w:sz w:val="24"/><w:szCs w:val="24"/><w:lang w:val="es-VE"/></w:rPr></w:r></w:p><w:p><w:pPr><w:pStyle w:val="style0"/><w:tabs><w:tab w:leader="none" w:pos="7088" w:val="left"/></w:tabs><w:spacing w:after="0" w:before="0" w:line="100" w:lineRule="atLeast"/><w:ind w:hanging="0" w:left="0" w:right="-1"/><w:jc w:val="center"/></w:pPr><w:r><w:rPr><w:rFonts w:ascii="Times New Roman" w:hAnsi="Times New Roman"/><w:b/><w:sz w:val="24"/><w:szCs w:val="24"/><w:lang w:val="es-VE"/></w:rPr></w:r></w:p><w:p><w:pPr><w:pStyle w:val="style0"/><w:numPr><w:ilvl w:val="0"/><w:numId w:val="14"/></w:numPr><w:tabs><w:tab w:leader="none" w:pos="709" w:val="left"/></w:tabs><w:spacing w:after="720" w:before="0" w:line="100" w:lineRule="atLeast"/><w:ind w:hanging="0" w:left="0" w:right="-1"/><w:jc w:val="both"/></w:pPr><w:r><w:rPr><w:rFonts w:ascii="Times New Roman" w:hAnsi="Times New Roman"/><w:sz w:val="24"/><w:szCs w:val="24"/><w:lang w:val="es-VE"/></w:rPr><w:t xml:space="preserve">Razón de Capitalización Interna: </w:t></w:r></w:p><w:p><w:pPr><w:pStyle w:val="style0"/><w:tabs><w:tab w:leader="none" w:pos="1276" w:val="left"/></w:tabs><w:spacing w:after="720" w:before="0" w:line="100" w:lineRule="atLeast"/><w:ind w:hanging="0" w:left="567" w:right="616"/><w:jc w:val="both"/></w:pPr><w:r><w:rPr><w:rFonts w:ascii="Times New Roman" w:hAnsi="Times New Roman"/><w:sz w:val="24"/><w:szCs w:val="24"/><w:lang w:val="es-VE"/></w:rPr><w:t>... este indicador mide la proporción en que el patrimonio de los accionistas participa en la capitalización de la empresa; por ejemplo, una capitalización interna de 75% indica que en la capitalización existe una relación de 3 a 1 entre lo aportado por los accionistas y lo tomado de terceros. La suma de los dos índices de capitalización debe ser igual a 1.</w:t></w:r></w:p><w:p><w:pPr><w:pStyle w:val="style0"/><w:tabs><w:tab w:leader="none" w:pos="1276" w:val="left"/></w:tabs><w:spacing w:after="0" w:before="0" w:line="100" w:lineRule="atLeast"/><w:ind w:hanging="0" w:left="567" w:right="566"/><w:jc w:val="both"/></w:pPr><w:r><w:rPr><w:rFonts w:ascii="Times New Roman" w:hAnsi="Times New Roman"/><w:sz w:val="24"/><w:szCs w:val="24"/><w:lang w:val="es-VE"/></w:rPr></w:r></w:p><w:p><w:pPr><w:pStyle w:val="style0"/><w:tabs><w:tab w:leader="none" w:pos="7088" w:val="left"/></w:tabs><w:spacing w:after="0" w:before="0" w:line="100" w:lineRule="atLeast"/><w:ind w:hanging="0" w:left="0" w:right="-1"/><w:jc w:val="center"/></w:pPr><w:r><w:rPr><w:rFonts w:ascii="Times New Roman" w:hAnsi="Times New Roman"/><w:b/><w:sz w:val="24"/><w:szCs w:val="24"/><w:lang w:val="es-VE"/></w:rPr><w:t>Capitalización Interna= Patrimonio / (Patrimonio+Deuda a Largo Plazo)</w:t></w:r></w:p><w:p><w:pPr><w:pStyle w:val="style0"/><w:tabs><w:tab w:leader="none" w:pos="7088" w:val="left"/></w:tabs><w:spacing w:after="0" w:before="0" w:line="100" w:lineRule="atLeast"/><w:ind w:hanging="0" w:left="0" w:right="-1"/><w:jc w:val="center"/></w:pPr><w:r><w:rPr><w:rFonts w:ascii="Times New Roman" w:hAnsi="Times New Roman"/><w:b/><w:sz w:val="24"/><w:szCs w:val="24"/><w:lang w:val="es-VE"/></w:rPr></w:r></w:p><w:p><w:pPr><w:pStyle w:val="style0"/><w:tabs><w:tab w:leader="none" w:pos="7088" w:val="left"/></w:tabs><w:spacing w:after="0" w:before="0" w:line="100" w:lineRule="atLeast"/><w:ind w:hanging="0" w:left="0" w:right="-1"/><w:jc w:val="center"/></w:pPr><w:r><w:rPr><w:rFonts w:ascii="Times New Roman" w:hAnsi="Times New Roman"/><w:b/><w:sz w:val="24"/><w:szCs w:val="24"/><w:lang w:val="es-VE"/></w:rPr></w:r></w:p><w:p><w:pPr><w:pStyle w:val="style0"/><w:numPr><w:ilvl w:val="0"/><w:numId w:val="13"/></w:numPr><w:tabs><w:tab w:leader="none" w:pos="426" w:val="left"/></w:tabs><w:spacing w:after="720" w:before="0" w:line="100" w:lineRule="atLeast"/><w:ind w:hanging="0" w:left="0" w:right="0"/><w:jc w:val="both"/></w:pPr><w:r><w:rPr><w:rFonts w:ascii="Times New Roman" w:hAnsi="Times New Roman"/><w:sz w:val="24"/><w:szCs w:val="24"/><w:lang w:val="es-VE"/></w:rPr><w:t>Razones de Actividad</w:t></w:r></w:p><w:p><w:pPr><w:pStyle w:val="style0"/><w:numPr><w:ilvl w:val="0"/><w:numId w:val="15"/></w:numPr><w:tabs><w:tab w:leader="none" w:pos="709" w:val="left"/></w:tabs><w:spacing w:after="720" w:before="0" w:line="360" w:lineRule="auto"/><w:jc w:val="both"/></w:pPr><w:r><w:rPr><w:rFonts w:ascii="Times New Roman" w:hAnsi="Times New Roman"/><w:sz w:val="24"/><w:szCs w:val="24"/><w:lang w:val="es-VE"/></w:rPr><w:t>Días de Inventarios: “hipotéticamente evalúa cuántos días podría operar la empresa sin reponer sus inventarios, manteniendo el mismo nivel de ventas”.</w:t></w:r></w:p><w:p><w:pPr><w:pStyle w:val="style0"/><w:tabs><w:tab w:leader="none" w:pos="709" w:val="left"/></w:tabs><w:spacing w:after="0" w:before="0" w:line="100" w:lineRule="atLeast"/><w:ind w:hanging="0" w:left="0" w:right="-1"/><w:jc w:val="center"/></w:pPr><w:r><w:rPr><w:rFonts w:ascii="Times New Roman" w:hAnsi="Times New Roman"/><w:b/><w:sz w:val="24"/><w:szCs w:val="24"/><w:lang w:val="es-VE"/></w:rPr><w:t>Días de Inventario = (Inventarios x 360) / Ventas</w:t></w:r></w:p><w:p><w:pPr><w:pStyle w:val="style0"/><w:tabs><w:tab w:leader="none" w:pos="709" w:val="left"/></w:tabs><w:spacing w:after="0" w:before="0" w:line="100" w:lineRule="atLeast"/><w:ind w:hanging="0" w:left="0" w:right="-1"/><w:jc w:val="center"/></w:pPr><w:r><w:rPr><w:rFonts w:ascii="Times New Roman" w:hAnsi="Times New Roman"/><w:b/><w:sz w:val="24"/><w:szCs w:val="24"/><w:lang w:val="es-VE"/></w:rPr></w:r></w:p><w:p><w:pPr><w:pStyle w:val="style0"/><w:tabs><w:tab w:leader="none" w:pos="709" w:val="left"/></w:tabs><w:spacing w:after="0" w:before="0" w:line="100" w:lineRule="atLeast"/><w:ind w:hanging="0" w:left="0" w:right="-1"/><w:jc w:val="center"/></w:pPr><w:r><w:rPr><w:rFonts w:ascii="Times New Roman" w:hAnsi="Times New Roman"/><w:b/><w:sz w:val="24"/><w:szCs w:val="24"/><w:lang w:val="es-VE"/></w:rPr></w:r></w:p><w:p><w:pPr><w:pStyle w:val="style0"/><w:numPr><w:ilvl w:val="0"/><w:numId w:val="15"/></w:numPr><w:tabs><w:tab w:leader="none" w:pos="709" w:val="left"/></w:tabs><w:spacing w:after="720" w:before="0" w:line="360" w:lineRule="auto"/><w:jc w:val="both"/></w:pPr><w:r><w:rPr><w:rFonts w:ascii="Times New Roman" w:hAnsi="Times New Roman"/><w:sz w:val="24"/><w:szCs w:val="24"/><w:lang w:val="es-VE"/></w:rPr><w:t>Rotación de Inventarios: “indica el número de veces en que, en promedio, el inventario ha sido repuesto”</w:t></w:r></w:p><w:p><w:pPr><w:pStyle w:val="style0"/><w:tabs><w:tab w:leader="none" w:pos="709" w:val="left"/></w:tabs><w:spacing w:after="720" w:before="0" w:line="100" w:lineRule="atLeast"/><w:jc w:val="center"/></w:pPr><w:r><w:rPr><w:rFonts w:ascii="Times New Roman" w:hAnsi="Times New Roman"/><w:b/><w:sz w:val="24"/><w:szCs w:val="24"/><w:lang w:val="es-VE"/></w:rPr><w:t>Rotación de Inventarios = Ventas/Inventarios</w:t></w:r></w:p><w:p><w:pPr><w:pStyle w:val="style0"/><w:numPr><w:ilvl w:val="0"/><w:numId w:val="15"/></w:numPr><w:tabs><w:tab w:leader="none" w:pos="709" w:val="left"/></w:tabs><w:spacing w:after="720" w:before="0" w:line="360" w:lineRule="auto"/><w:jc w:val="both"/></w:pPr><w:r><w:rPr><w:rFonts w:ascii="Times New Roman" w:hAnsi="Times New Roman"/><w:sz w:val="24"/><w:szCs w:val="24"/><w:lang w:val="es-VE"/></w:rPr><w:t>Días de Cuentas por Pagar: “mide el número de días que, en promedio, la empresa se está tomando de sus proveedores, para saldar sus compras”.</w:t></w:r></w:p><w:p><w:pPr><w:pStyle w:val="style0"/><w:tabs><w:tab w:leader="none" w:pos="709" w:val="left"/></w:tabs><w:spacing w:after="720" w:before="0" w:line="100" w:lineRule="atLeast"/><w:jc w:val="center"/></w:pPr><w:r><w:rPr><w:rFonts w:ascii="Times New Roman" w:hAnsi="Times New Roman"/><w:b/><w:sz w:val="24"/><w:szCs w:val="24"/><w:lang w:val="es-VE"/></w:rPr><w:t>Días de Cuentas por Pagar = (Cuentas por Pagar x 360)/Compras</w:t></w:r></w:p><w:p><w:pPr><w:pStyle w:val="style0"/><w:numPr><w:ilvl w:val="0"/><w:numId w:val="15"/></w:numPr><w:tabs><w:tab w:leader="none" w:pos="709" w:val="left"/></w:tabs><w:spacing w:after="720" w:before="0" w:line="360" w:lineRule="auto"/><w:jc w:val="both"/></w:pPr><w:r><w:rPr><w:rFonts w:ascii="Times New Roman" w:hAnsi="Times New Roman"/><w:sz w:val="24"/><w:szCs w:val="24"/><w:lang w:val="es-VE"/></w:rPr><w:t>Rotación de Cuentas Por Pagar: “indica el número de veces en que, en promedio, han sido renovadas las cuentas por pagar”.</w:t></w:r></w:p><w:p><w:pPr><w:pStyle w:val="style0"/><w:tabs><w:tab w:leader="none" w:pos="709" w:val="left"/></w:tabs><w:spacing w:after="720" w:before="0" w:line="480" w:lineRule="auto"/><w:jc w:val="center"/></w:pPr><w:r><w:rPr><w:rFonts w:ascii="Times New Roman" w:hAnsi="Times New Roman"/><w:b/><w:sz w:val="24"/><w:szCs w:val="24"/><w:lang w:val="es-VE"/></w:rPr><w:t>Rotación de Cuentas por Pagar = Compras / Cuentas por Pagar</w:t></w:r></w:p><w:p><w:pPr><w:pStyle w:val="style0"/><w:numPr><w:ilvl w:val="0"/><w:numId w:val="13"/></w:numPr><w:tabs><w:tab w:leader="none" w:pos="426" w:val="left"/></w:tabs><w:spacing w:after="720" w:before="0" w:line="480" w:lineRule="auto"/><w:ind w:hanging="0" w:left="0" w:right="0"/><w:jc w:val="both"/></w:pPr><w:r><w:rPr><w:rFonts w:ascii="Times New Roman" w:hAnsi="Times New Roman"/><w:sz w:val="24"/><w:szCs w:val="24"/><w:lang w:val="es-VE"/></w:rPr><w:t>Razones de Rentabilidad</w:t></w:r></w:p><w:p><w:pPr><w:pStyle w:val="style0"/><w:numPr><w:ilvl w:val="0"/><w:numId w:val="16"/></w:numPr><w:tabs><w:tab w:leader="none" w:pos="709" w:val="left"/></w:tabs><w:spacing w:after="720" w:before="0" w:line="360" w:lineRule="auto"/><w:jc w:val="both"/></w:pPr><w:r><w:rPr><w:rFonts w:ascii="Times New Roman" w:hAnsi="Times New Roman"/><w:sz w:val="24"/><w:szCs w:val="24"/><w:lang w:val="es-VE"/></w:rPr><w:t>Margen de Utilidad Bruta: “mide, en forma porcentual, la porción del ingreso que permitirá cubrir todos los gastos diferentes al costo de ventas (Costos Operativos, Costo Integral de Financiamiento, Impuesto sobre la Renta, etc.)”.</w:t></w:r></w:p><w:p><w:pPr><w:pStyle w:val="style0"/><w:tabs><w:tab w:leader="none" w:pos="709" w:val="left"/></w:tabs><w:spacing w:after="0" w:before="0" w:line="480" w:lineRule="auto"/><w:ind w:hanging="0" w:left="0" w:right="-1"/><w:jc w:val="center"/></w:pPr><w:r><w:rPr><w:rFonts w:ascii="Times New Roman" w:hAnsi="Times New Roman"/><w:b/><w:sz w:val="24"/><w:szCs w:val="24"/><w:lang w:val="es-VE"/></w:rPr><w:t>Margen de Utilidad Bruta = (Ventas – Costo de Ventas) / Ventas</w:t></w:r></w:p><w:p><w:pPr><w:pStyle w:val="style0"/><w:tabs><w:tab w:leader="none" w:pos="709" w:val="left"/></w:tabs><w:spacing w:after="0" w:before="0" w:line="480" w:lineRule="auto"/><w:ind w:hanging="0" w:left="0" w:right="-1"/><w:jc w:val="both"/></w:pPr><w:r><w:rPr><w:rFonts w:ascii="Times New Roman" w:hAnsi="Times New Roman"/><w:sz w:val="24"/><w:szCs w:val="24"/><w:lang w:val="es-VE"/></w:rPr></w:r></w:p><w:p><w:pPr><w:pStyle w:val="style0"/><w:tabs><w:tab w:leader="none" w:pos="709" w:val="left"/></w:tabs><w:spacing w:after="720" w:before="0" w:line="360" w:lineRule="auto"/><w:jc w:val="both"/></w:pPr><w:r><w:rPr><w:rFonts w:ascii="Times New Roman" w:hAnsi="Times New Roman"/><w:sz w:val="24"/><w:szCs w:val="24"/><w:lang w:val="es-VE"/></w:rPr><w:t xml:space="preserve">     </w:t></w:r><w:r><w:rPr><w:rFonts w:ascii="Times New Roman" w:hAnsi="Times New Roman"/><w:sz w:val="24"/><w:szCs w:val="24"/><w:lang w:val="es-VE"/></w:rPr><w:t>Los indicadores antes mencionados, son aplicados a la evaluación de los estados financieros comúnmente conocidos, Balance General y Estado de Ganancias y Pérdidas. Para los siguientes índices, es necesaria la elaboración del “Estado de Flujo de Efectivo”, que el autor Sánchez (s/f), los define así:</w:t></w:r></w:p><w:p><w:pPr><w:pStyle w:val="style0"/><w:numPr><w:ilvl w:val="0"/><w:numId w:val="17"/></w:numPr><w:spacing w:after="720" w:before="0" w:line="360" w:lineRule="auto"/><w:ind w:hanging="0" w:left="0" w:right="0"/><w:jc w:val="both"/></w:pPr><w:r><w:rPr><w:rFonts w:ascii="Times New Roman" w:hAnsi="Times New Roman"/><w:sz w:val="24"/><w:szCs w:val="24"/><w:lang w:val="es-VE"/></w:rPr><w:t xml:space="preserve">Índices de Suficiencia: </w:t></w:r></w:p><w:p><w:pPr><w:pStyle w:val="style0"/><w:spacing w:after="0" w:before="0" w:line="100" w:lineRule="atLeast"/><w:ind w:hanging="0" w:left="567" w:right="616"/><w:jc w:val="both"/></w:pPr><w:r><w:rPr><w:rFonts w:ascii="Times New Roman" w:hAnsi="Times New Roman"/><w:sz w:val="24"/><w:szCs w:val="24"/><w:lang w:val="es-VE"/></w:rPr><w:t>Evalúan la habilidad de la empresa para generar efectivo en operaciones, suficiente para cubrir sus necesidades de inversión y financiamiento, como pagar sus deudas, reinvertir en activo fijo y pagar dividendos.</w:t></w:r></w:p><w:p><w:pPr><w:pStyle w:val="style0"/><w:tabs><w:tab w:leader="none" w:pos="709" w:val="left"/></w:tabs><w:spacing w:after="0" w:before="0" w:line="360" w:lineRule="auto"/><w:ind w:hanging="0" w:left="0" w:right="-1"/><w:jc w:val="both"/></w:pPr><w:r><w:rPr><w:rFonts w:ascii="Times New Roman" w:hAnsi="Times New Roman"/><w:sz w:val="24"/><w:szCs w:val="24"/><w:lang w:val="es-VE"/></w:rPr></w:r></w:p><w:p><w:pPr><w:pStyle w:val="style0"/><w:tabs><w:tab w:leader="none" w:pos="709" w:val="left"/></w:tabs><w:spacing w:after="0" w:before="0" w:line="360" w:lineRule="auto"/><w:ind w:hanging="0" w:left="0" w:right="-1"/><w:jc w:val="both"/></w:pPr><w:r><w:rPr><w:rFonts w:ascii="Times New Roman" w:hAnsi="Times New Roman"/><w:sz w:val="24"/><w:szCs w:val="24"/><w:lang w:val="es-VE"/></w:rPr></w:r></w:p><w:p><w:pPr><w:pStyle w:val="style0"/><w:tabs><w:tab w:leader="none" w:pos="709" w:val="left"/></w:tabs><w:spacing w:after="0" w:before="0" w:line="360" w:lineRule="auto"/><w:ind w:hanging="0" w:left="0" w:right="-1"/><w:jc w:val="both"/></w:pPr><w:r><w:rPr><w:rFonts w:ascii="Times New Roman" w:hAnsi="Times New Roman"/><w:sz w:val="24"/><w:szCs w:val="24"/><w:lang w:val="es-VE"/></w:rPr><w:t xml:space="preserve">     </w:t></w:r><w:r><w:rPr><w:rFonts w:ascii="Times New Roman" w:hAnsi="Times New Roman"/><w:sz w:val="24"/><w:szCs w:val="24"/><w:lang w:val="es-VE"/></w:rPr><w:t>Continúa el autor, “...a suficiencia del efectivo generado para efectuar nuevas inversiones que permitan mantener el negocio en marcha y suficiencia para servir la deuda y remunerar a los accionistas”.</w:t></w:r></w:p><w:p><w:pPr><w:pStyle w:val="style0"/><w:tabs><w:tab w:leader="none" w:pos="709" w:val="left"/></w:tabs><w:spacing w:after="0" w:before="0" w:line="360" w:lineRule="auto"/><w:ind w:hanging="0" w:left="0" w:right="-1"/><w:jc w:val="both"/></w:pPr><w:r><w:rPr><w:rFonts w:ascii="Times New Roman" w:hAnsi="Times New Roman"/><w:sz w:val="24"/><w:szCs w:val="24"/><w:lang w:val="es-VE"/></w:rPr></w:r></w:p><w:p><w:pPr><w:pStyle w:val="style0"/><w:tabs><w:tab w:leader="none" w:pos="709" w:val="left"/></w:tabs><w:spacing w:after="0" w:before="0" w:line="360" w:lineRule="auto"/><w:ind w:hanging="0" w:left="0" w:right="-1"/><w:jc w:val="both"/></w:pPr><w:r><w:rPr><w:rFonts w:ascii="Times New Roman" w:hAnsi="Times New Roman"/><w:sz w:val="24"/><w:szCs w:val="24"/><w:lang w:val="es-VE"/></w:rPr><w:t xml:space="preserve">     </w:t></w:r><w:r><w:rPr><w:rFonts w:ascii="Times New Roman" w:hAnsi="Times New Roman"/><w:sz w:val="24"/><w:szCs w:val="24"/><w:lang w:val="es-VE"/></w:rPr><w:t>Los más comunes son:</w:t><w:drawing><wp:anchor allowOverlap="1" behindDoc="1" distB="0" distL="0" distR="0" distT="0" layoutInCell="1" locked="0" relativeHeight="0" simplePos="0"><wp:simplePos x="0" y="0"/><wp:positionH relativeFrom="character"><wp:posOffset>59690</wp:posOffset></wp:positionH><wp:positionV relativeFrom="line"><wp:posOffset>517525</wp:posOffset></wp:positionV><wp:extent cx="4866640" cy="1897380"/><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29"/><a:srcRect/><a:stretch><a:fillRect/></a:stretch></pic:blipFill><pic:spPr bwMode="auto"><a:xfrm><a:off x="0" y="0"/><a:ext cx="4866640" cy="1897380"/></a:xfrm><a:prstGeom prst="rect"><a:avLst/></a:prstGeom><a:noFill/><a:ln w="9525"><a:noFill/><a:miter lim="800000"/><a:headEnd/><a:tailEnd/></a:ln></pic:spPr></pic:pic></a:graphicData></a:graphic></wp:anchor></w:drawing></w:r></w:p><w:p><w:pPr><w:pStyle w:val="style0"/><w:tabs><w:tab w:leader="none" w:pos="709" w:val="left"/></w:tabs><w:spacing w:after="0" w:before="0" w:line="360" w:lineRule="auto"/><w:ind w:hanging="0" w:left="0" w:right="-1"/><w:jc w:val="both"/></w:pPr><w:r><w:rPr><w:rFonts w:ascii="Times New Roman" w:hAnsi="Times New Roman"/><w:sz w:val="24"/><w:szCs w:val="24"/><w:lang w:val="es-VE"/></w:rPr></w:r></w:p><w:p><w:pPr><w:pStyle w:val="style0"/><w:tabs><w:tab w:leader="none" w:pos="709" w:val="left"/></w:tabs><w:spacing w:after="0" w:before="0" w:line="360" w:lineRule="auto"/><w:ind w:hanging="0" w:left="0" w:right="-1"/><w:jc w:val="both"/></w:pPr><w:r><w:rPr><w:rFonts w:ascii="Times New Roman" w:hAnsi="Times New Roman"/><w:sz w:val="24"/><w:szCs w:val="24"/><w:lang w:val="es-VE"/></w:rPr></w:r></w:p><w:p><w:pPr><w:pStyle w:val="style44"/></w:pPr><w:r><w:rPr><w:rFonts w:ascii="Times New Roman" w:hAnsi="Times New Roman"/><w:sz w:val="24"/><w:szCs w:val="24"/><w:lang w:val="es-VE"/></w:rPr><w:t>Índices de Eficiencia:</w:t></w:r></w:p><w:p><w:pPr><w:sectPr><w:type w:val="continuous"/><w:pgSz w:h="15840" w:w="12240"/><w:pgMar w:bottom="1049" w:footer="992" w:gutter="0" w:header="0" w:left="2268" w:right="1701" w:top="2268"/><w:formProt w:val="false"/><w:textDirection w:val="lrTb"/><w:docGrid w:charSpace="4096" w:linePitch="360" w:type="default"/></w:sectPr></w:pPr></w:p><w:p><w:pPr><w:sectPr><w:type w:val="continuous"/><w:pgSz w:h="15840" w:w="12240"/><w:pgMar w:bottom="1646" w:footer="1134" w:gutter="0" w:header="0" w:left="1134" w:right="1134" w:top="1134"/><w:formProt w:val="false"/><w:textDirection w:val="lrTb"/></w:sectPr><w:pStyle w:val="style0"/><w:tabs><w:tab w:leader="none" w:pos="426" w:val="left"/><w:tab w:leader="none" w:pos="4252" w:val="center"/><w:tab w:leader="none" w:pos="8504" w:val="right"/></w:tabs><w:spacing w:after="720" w:before="0" w:line="360" w:lineRule="auto"/><w:ind w:hanging="0" w:left="0" w:right="-1"/><w:jc w:val="both"/></w:pPr><w:r><w:rPr><w:rFonts w:ascii="Times New Roman" w:hAnsi="Times New Roman"/><w:sz w:val="24"/><w:szCs w:val="24"/><w:lang w:val="es-VE"/></w:rPr></w:r></w:p><w:p><w:pPr><w:pStyle w:val="style0"/><w:tabs><w:tab w:leader="none" w:pos="1276" w:val="left"/><w:tab w:leader="none" w:pos="4819" w:val="center"/><w:tab w:leader="none" w:pos="9071" w:val="right"/></w:tabs><w:spacing w:after="720" w:before="0" w:line="100" w:lineRule="atLeast"/><w:ind w:hanging="0" w:left="567" w:right="616"/><w:jc w:val="both"/></w:pPr><w:r><w:rPr><w:rFonts w:ascii="Times New Roman" w:hAnsi="Times New Roman"/><w:sz w:val="24"/><w:szCs w:val="24"/><w:lang w:val="es-VE"/></w:rPr><w:t>Evalúan que tan buena es la empresa para generar efectivo, en comparación con otros años o con otras empresas. Los índices se determinan a partir de la comparación del efectivo generado por las ventas, por la utilidad operativa o por los activos y luego se comparan con el índice interno o externo que se haya tomado como base.</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 xml:space="preserve">     </w:t></w:r><w:r><w:rPr><w:rFonts w:ascii="Times New Roman" w:hAnsi="Times New Roman"/><w:sz w:val="24"/><w:szCs w:val="24"/><w:lang w:val="es-VE"/></w:rPr><w:t>Los principales son:</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drawing><wp:anchor allowOverlap="1" behindDoc="1" distB="0" distL="0" distR="0" distT="0" layoutInCell="1" locked="0" relativeHeight="0" simplePos="0"><wp:simplePos x="0" y="0"/><wp:positionH relativeFrom="character"><wp:posOffset>732790</wp:posOffset></wp:positionH><wp:positionV relativeFrom="line"><wp:posOffset>397510</wp:posOffset></wp:positionV><wp:extent cx="4866640" cy="61150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30"/><a:srcRect/><a:stretch><a:fillRect/></a:stretch></pic:blipFill><pic:spPr bwMode="auto"><a:xfrm><a:off x="0" y="0"/><a:ext cx="4866640" cy="611505"/></a:xfrm><a:prstGeom prst="rect"><a:avLst/></a:prstGeom><a:noFill/><a:ln w="9525"><a:noFill/><a:miter lim="800000"/><a:headEnd/><a:tailEnd/></a:ln></pic:spPr></pic:pic></a:graphicData></a:graphic></wp:anchor></w:drawing></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r></w:p><w:p><w:pPr><w:pStyle w:val="style0"/><w:jc w:val="center"/></w:pPr><w:r><w:rPr><w:rFonts w:ascii="Times New Roman" w:hAnsi="Times New Roman"/><w:b/><w:sz w:val="24"/><w:lang w:val="es-ES"/></w:rPr><w:t xml:space="preserve">CUADRO 3. </w:t></w:r><w:r><w:rPr><w:rFonts w:ascii="Times New Roman" w:hAnsi="Times New Roman"/><w:sz w:val="24"/><w:lang w:val="es-ES"/></w:rPr><w:t>Cuadro Resumen</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tbl><w:tblPr><w:jc w:val="center"/><w:tblBorders><w:top w:color="00000A" w:space="0" w:sz="4" w:val="single"/><w:left w:color="00000A" w:space="0" w:sz="4" w:val="single"/><w:bottom w:color="00000A" w:space="0" w:sz="4" w:val="single"/><w:right w:color="00000A" w:space="0" w:sz="4" w:val="single"/></w:tblBorders></w:tblPr><w:tblGrid><w:gridCol w:w="1952"/><w:gridCol w:w="1808"/><w:gridCol w:w="2861"/><w:gridCol w:w="2110"/><w:gridCol w:w="4690"/></w:tblGrid><w:tr><w:trPr><w:trHeight w:hRule="atLeast" w:val="682"/><w:cantSplit w:val="false"/></w:trPr><w:tc><w:tcPr><w:tcW w:type="dxa" w:w="1952"/><w:tcBorders><w:top w:color="00000A" w:space="0" w:sz="4" w:val="single"/><w:left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b/><w:bCs/><w:color w:val="000000"/><w:sz w:val="24"/><w:szCs w:val="24"/><w:lang w:eastAsia="es-VE" w:val="es-VE"/></w:rPr><w:t>TIPO DE INDICADOR/</w:t></w:r></w:p><w:p><w:pPr><w:pStyle w:val="style0"/><w:spacing w:after="0" w:before="0" w:line="100" w:lineRule="atLeast"/><w:jc w:val="center"/></w:pPr><w:r><w:rPr><w:rFonts w:ascii="Times New Roman" w:eastAsia="Times New Roman" w:hAnsi="Times New Roman"/><w:b/><w:bCs/><w:color w:val="000000"/><w:sz w:val="24"/><w:szCs w:val="24"/><w:lang w:eastAsia="es-VE" w:val="es-VE"/></w:rPr><w:t>INDICE</w:t></w:r></w:p></w:tc><w:tc><w:tcPr><w:tcW w:type="dxa" w:w="1808"/><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b/><w:bCs/><w:color w:val="000000"/><w:sz w:val="24"/><w:szCs w:val="24"/><w:lang w:eastAsia="es-VE" w:val="es-VE"/></w:rPr><w:t>NOMBRE DEL INDICADOR/INDICE</w:t></w:r></w:p></w:tc><w:tc><w:tcPr><w:tcW w:type="dxa" w:w="2861"/><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b/><w:bCs/><w:color w:val="000000"/><w:sz w:val="24"/><w:szCs w:val="24"/><w:lang w:eastAsia="es-VE" w:val="es-VE"/></w:rPr><w:t>FORMULA</w:t></w:r></w:p></w:tc><w:tc><w:tcPr><w:tcW w:type="dxa" w:w="2110"/><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b/><w:bCs/><w:color w:val="000000"/><w:sz w:val="24"/><w:szCs w:val="24"/><w:lang w:eastAsia="es-VE" w:val="es-VE"/></w:rPr><w:t>PARAMETROS</w:t></w:r></w:p></w:tc><w:tc><w:tcPr><w:tcW w:type="dxa" w:w="4690"/><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b/><w:bCs/><w:color w:val="000000"/><w:sz w:val="24"/><w:szCs w:val="24"/><w:lang w:eastAsia="es-VE" w:val="es-VE"/></w:rPr><w:t>DESCRIPCION</w:t></w:r></w:p></w:tc></w:tr><w:tr><w:trPr><w:trHeight w:hRule="atLeast" w:val="1462"/><w:cantSplit w:val="false"/></w:trPr><w:tc><w:tcPr><w:tcW w:type="dxa" w:w="1952"/><w:vMerge w:val="restart"/><w:tcBorders><w:left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Razones de Liquidez</w:t></w:r></w:p></w:tc><w:tc><w:tcPr><w:tcW w:type="dxa" w:w="1808"/><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1. Prueba o Razón Ácida</w:t></w:r></w:p></w:tc><w:tc><w:tcPr><w:tcW w:type="dxa" w:w="2861"/><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Prueba Ácida= (Activo Circulante-Inventario)/Pasivo Circulante</w:t></w:r></w:p></w:tc><w:tc><w:tcPr><w:tcW w:type="dxa" w:w="2110"/><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Por cada Bs. De deuda se debe tener un Bs. Para pagar</w:t></w:r></w:p></w:tc><w:tc><w:tcPr><w:tcW w:type="dxa" w:w="4690"/><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Mide el número de unidades monetarias en inversión líquida por cada unidad monetaria de pasivo a corto plazo.</w:t></w:r></w:p></w:tc></w:tr><w:tr><w:trPr><w:trHeight w:hRule="atLeast" w:val="2240"/><w:cantSplit w:val="false"/></w:trPr><w:tc><w:tcPr><w:tcW w:type="dxa" w:w="1952"/><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1808"/><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2. Cobertura de pagos</w:t></w:r></w:p></w:tc><w:tc><w:tcPr><w:tcW w:type="dxa" w:w="2861"/><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Cobertura de Pagos = (Efectivo y Equivalente de Efectivo + Cuentas por Cobrar)/Pagos de Efectivo</w:t></w:r></w:p></w:tc><w:tc><w:tcPr><w:tcW w:type="dxa" w:w="2110"/><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Esta relación debe ser mayor a 1</w:t></w:r></w:p></w:tc><w:tc><w:tcPr><w:tcW w:type="dxa" w:w="4690"/><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Es una herramienta utilizada en el momento de preparar un flujo de caja o cash flow para evaluar cómo se afectaría la capacidad de pago, en la hipotética situación en que la empresa tenga que paralizar sus actividades.</w:t></w:r></w:p></w:tc></w:tr><w:tr><w:trPr><w:trHeight w:hRule="atLeast" w:val="1249"/><w:cantSplit w:val="false"/></w:trPr><w:tc><w:tcPr><w:tcW w:type="dxa" w:w="1952"/><w:tcBorders><w:left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Razones de Apalancamiento</w:t></w:r></w:p></w:tc><w:tc><w:tcPr><w:tcW w:type="dxa" w:w="1808"/><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1. Razón de Capitalización Externa</w:t></w:r></w:p></w:tc><w:tc><w:tcPr><w:tcW w:type="dxa" w:w="2861"/><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Capitalización Externa = Deuda a Largo Plazo / (Patrimonio + Deuda a Largo Plazo)</w:t></w:r></w:p></w:tc><w:tc><w:tcPr><w:tcW w:type="dxa" w:w="2110"/><w:tcBorders><w:left w:color="00000A" w:space="0" w:sz="4" w:val="single"/><w:bottom w:color="000001"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La suma de los dos índices de capitalización debe ser igual a 1.</w:t></w:r></w:p></w:tc><w:tc><w:tcPr><w:tcW w:type="dxa" w:w="4690"/><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La razón de capitalización externa mide la proporción en que entra el aporte de terceros en la capitalización de la empresa.</w:t></w:r></w:p></w:tc></w:tr></w:tbl><w:p><w:pPr><w:pStyle w:val="style0"/></w:pPr><w:r><w:rPr></w:rPr></w:r></w:p><w:p><w:pPr><w:pStyle w:val="style0"/></w:pPr><w:r><w:rPr></w:rPr></w:r></w:p><w:p><w:pPr><w:pStyle w:val="style0"/></w:pPr><w:r><w:rPr></w:rPr></w:r></w:p><w:p><w:pPr><w:pStyle w:val="style0"/><w:jc w:val="center"/></w:pPr><w:r><w:rPr><w:rFonts w:ascii="Times New Roman" w:hAnsi="Times New Roman"/><w:sz w:val="24"/></w:rPr><w:t>CONT. CUADRO 3</w:t></w:r></w:p><w:tbl><w:tblPr><w:jc w:val="center"/><w:tblBorders><w:top w:color="00000A" w:space="0" w:sz="4" w:val="single"/><w:left w:color="00000A" w:space="0" w:sz="4" w:val="single"/><w:bottom w:color="00000A" w:space="0" w:sz="4" w:val="single"/><w:right w:color="00000A" w:space="0" w:sz="4" w:val="single"/></w:tblBorders></w:tblPr><w:tblGrid><w:gridCol w:w="1952"/><w:gridCol w:w="1808"/><w:gridCol w:w="2861"/><w:gridCol w:w="2110"/><w:gridCol w:w="4690"/></w:tblGrid><w:tr><w:trPr><w:trHeight w:hRule="atLeast" w:val="1210"/><w:cantSplit w:val="false"/></w:trPr><w:tc><w:tcPr><w:tcW w:type="dxa" w:w="1952"/><w:tcBorders><w:top w:color="00000A" w:space="0" w:sz="4" w:val="single"/><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1808"/><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2. Razón de Capitalización Interna</w:t></w:r></w:p></w:tc><w:tc><w:tcPr><w:tcW w:type="dxa" w:w="2861"/><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Capitalización Interna= Patrimonio / (Patrimonio+Deuda a Largo Plazo)</w:t></w:r></w:p></w:tc><w:tc><w:tcPr><w:tcW w:type="dxa" w:w="2110"/><w:tcBorders><w:top w:color="00000A" w:space="0" w:sz="4" w:val="single"/><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90"/><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Mide la proporción en que el patrimonio de los accionistas participa en la capitalización de la empresa</w:t></w:r></w:p></w:tc></w:tr><w:tr><w:trPr><w:trHeight w:hRule="atLeast" w:val="1683"/><w:cantSplit w:val="false"/></w:trPr><w:tc><w:tcPr><w:tcW w:type="dxa" w:w="1952"/><w:vMerge w:val="restart"/><w:tcBorders><w:top w:color="00000A" w:space="0" w:sz="4" w:val="single"/><w:left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Razones de Actividad</w:t></w:r></w:p></w:tc><w:tc><w:tcPr><w:tcW w:type="dxa" w:w="1808"/><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1. Días de Inventarios</w:t></w:r></w:p></w:tc><w:tc><w:tcPr><w:tcW w:type="dxa" w:w="2861"/><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Días de Inventario = (Inventarios x 360) / Ventas</w:t></w:r></w:p></w:tc><w:tc><w:tcPr><w:tcW w:type="dxa" w:w="2110"/><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Mientras más cercano a 1, menos tiempo de almacenaje de la mercancía se tendrá, lo que implica menos costos.</w:t></w:r></w:p></w:tc><w:tc><w:tcPr><w:tcW w:type="dxa" w:w="4690"/><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Evalúa cuántos días podría operar la empresa sin reponer sus inventarios, manteniendo el mismo nivel de ventas</w:t></w:r></w:p></w:tc></w:tr><w:tr><w:trPr><w:trHeight w:hRule="atLeast" w:val="421"/><w:cantSplit w:val="false"/></w:trPr><w:tc><w:tcPr><w:tcW w:type="dxa" w:w="1952"/><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1808"/><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2. Rotación de Inventarios</w:t></w:r></w:p></w:tc><w:tc><w:tcPr><w:tcW w:type="dxa" w:w="2861"/><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Rotación de Inventarios = Ventas/Inventarios</w:t></w:r></w:p></w:tc><w:tc><w:tcPr><w:tcW w:type="dxa" w:w="2110"/><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La rotación de inventarios será más adecuada entre más se aleje de 1</w:t></w:r></w:p></w:tc><w:tc><w:tcPr><w:tcW w:type="dxa" w:w="4690"/><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Indica el número de veces en que, en promedio, el inventario ha sido repuesto</w:t></w:r></w:p></w:tc></w:tr><w:tr><w:trPr><w:trHeight w:hRule="atLeast" w:val="1893"/><w:cantSplit w:val="false"/></w:trPr><w:tc><w:tcPr><w:tcW w:type="dxa" w:w="1952"/><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1808"/><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3. Días de Cuentas por Pagar</w:t></w:r></w:p></w:tc><w:tc><w:tcPr><w:tcW w:type="dxa" w:w="2861"/><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Días de Cuentas por Pagar = (Cuentas por Pagar x 360)/Compras</w:t></w:r></w:p></w:tc><w:tc><w:tcPr><w:tcW w:type="dxa" w:w="2110"/><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Mientras menos días tarde por honrar sus deudas a proveedores, más confianza les brindará a éstos para próximas transacciones.</w:t></w:r></w:p></w:tc><w:tc><w:tcPr><w:tcW w:type="dxa" w:w="4690"/><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Mide el número de días que, en promedio, la empresa se está tomando de sus proveedores, para saldar sus compras</w:t></w:r></w:p></w:tc></w:tr></w:tbl><w:p><w:pPr><w:pStyle w:val="style0"/></w:pPr><w:r><w:rPr></w:rPr></w:r></w:p><w:p><w:pPr><w:pStyle w:val="style0"/></w:pPr><w:r><w:rPr></w:rPr></w:r></w:p><w:p><w:pPr><w:pStyle w:val="style0"/><w:jc w:val="center"/></w:pPr><w:r><w:rPr><w:rFonts w:ascii="Times New Roman" w:hAnsi="Times New Roman"/><w:sz w:val="24"/></w:rPr><w:t>CONT. CUADRO 3</w:t></w:r></w:p><w:tbl><w:tblPr><w:jc w:val="center"/><w:tblBorders><w:top w:color="00000A" w:space="0" w:sz="4" w:val="single"/><w:left w:color="00000A" w:space="0" w:sz="4" w:val="single"/><w:bottom w:color="00000A" w:space="0" w:sz="4" w:val="single"/><w:right w:color="00000A" w:space="0" w:sz="4" w:val="single"/></w:tblBorders></w:tblPr><w:tblGrid><w:gridCol w:w="1952"/><w:gridCol w:w="1808"/><w:gridCol w:w="2861"/><w:gridCol w:w="2110"/><w:gridCol w:w="4690"/></w:tblGrid><w:tr><w:trPr><w:trHeight w:hRule="atLeast" w:val="971"/><w:cantSplit w:val="false"/></w:trPr><w:tc><w:tcPr><w:tcW w:type="dxa" w:w="1952"/><w:tcBorders><w:top w:color="00000A" w:space="0" w:sz="4" w:val="single"/><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1808"/><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4. Rotación de Cuentas Por Pagar</w:t></w:r></w:p></w:tc><w:tc><w:tcPr><w:tcW w:type="dxa" w:w="2861"/><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Rotación de Cuentas por Pagar = Compras / Cuentas por Pagar</w:t></w:r></w:p></w:tc><w:tc><w:tcPr><w:tcW w:type="dxa" w:w="2110"/><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La rotación de  será más adecuada entre más se acerque de 1</w:t></w:r></w:p></w:tc><w:tc><w:tcPr><w:tcW w:type="dxa" w:w="4690"/><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Indica el número de veces en que, en promedio, han sido renovadas las cuentas por pagar</w:t></w:r></w:p></w:tc></w:tr><w:tr><w:trPr><w:trHeight w:hRule="atLeast" w:val="1814"/><w:cantSplit w:val="false"/></w:trPr><w:tc><w:tcPr><w:tcW w:type="dxa" w:w="1952"/><w:tcBorders><w:left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Razones de Rentabilidad</w:t></w:r></w:p></w:tc><w:tc><w:tcPr><w:tcW w:type="dxa" w:w="1808"/><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1. Margen de Utilidad Bruta</w:t></w:r></w:p></w:tc><w:tc><w:tcPr><w:tcW w:type="dxa" w:w="2861"/><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Margen de Utilidad Bruta = (Ventas – Costo de Ventas) / Ventas</w:t></w:r></w:p></w:tc><w:tc><w:tcPr><w:tcW w:type="dxa" w:w="2110"/><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Entre mayor sea este índice mayor será la posibilidad de cubrir los gastos operacionales y el uso de la financiación de la organización.</w:t></w:r></w:p></w:tc><w:tc><w:tcPr><w:tcW w:type="dxa" w:w="4690"/><w:tcBorders><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Mide, en forma porcentual, la porción del ingreso que permitirá cubrir todos los gastos diferentes al costo de ventas</w:t></w:r></w:p></w:tc></w:tr><w:tr><w:trPr><w:trHeight w:hRule="atLeast" w:val="1172"/><w:cantSplit w:val="false"/></w:trPr><w:tc><w:tcPr><w:tcW w:type="dxa" w:w="1952"/><w:vMerge w:val="restart"/><w:tcBorders><w:left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Índices de Suficiencia</w:t></w:r></w:p></w:tc><w:tc><w:tcPr><w:tcW w:type="dxa" w:w="4669"/><w:gridSpan w:val="2"/><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1. Adecuación del Flujo de Efectivo=Efectivo generado por operaciones / (Pagos deuda largo plazo + nuevas inversiones en activo fijo + pagos de dividendos)</w:t></w:r></w:p></w:tc><w:tc><w:tcPr><w:tcW w:type="dxa" w:w="2110"/><w:vMerge w:val="restart"/><w:tcBorders><w:left w:color="00000A" w:space="0" w:sz="4" w:val="single"/><w:bottom w:color="000001"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Debe generar efectivo suficiente para cubrir sus necesidades</w:t></w:r></w:p></w:tc><w:tc><w:tcPr><w:tcW w:type="dxa" w:w="4690"/><w:vMerge w:val="restart"/><w:tcBorders><w:left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Evalúan la habilidad de la empresa para generar efectivo en operaciones, suficiente para cubrir sus necesidades de inversión y financiamiento</w:t></w:r></w:p></w:tc></w:tr><w:tr><w:trPr><w:trHeight w:hRule="atLeast" w:val="404"/><w:cantSplit w:val="false"/></w:trPr><w:tc><w:tcPr><w:tcW w:type="dxa" w:w="1952"/><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69"/><w:gridSpan w:val="2"/><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2. Pagos de deuda a largo plazo= Pagos deuda largo plazo/Efectivo generado por operaciones</w:t></w:r></w:p></w:tc><w:tc><w:tcPr><w:tcW w:type="dxa" w:w="2110"/><w:vMerge w:val="continue"/><w:tcBorders><w:left w:color="00000A" w:space="0" w:sz="4" w:val="single"/><w:bottom w:color="000001"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90"/><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r><w:tr><w:trPr><w:trHeight w:hRule="atLeast" w:val="812"/><w:cantSplit w:val="false"/></w:trPr><w:tc><w:tcPr><w:tcW w:type="dxa" w:w="1952"/><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69"/><w:gridSpan w:val="2"/><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3. Reinversión=Nuevas inversiones en activo fijo / Efectivo generado por operaciones</w:t></w:r></w:p></w:tc><w:tc><w:tcPr><w:tcW w:type="dxa" w:w="2110"/><w:vMerge w:val="continue"/><w:tcBorders><w:left w:color="00000A" w:space="0" w:sz="4" w:val="single"/><w:bottom w:color="000001"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90"/><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r><w:tr><w:trPr><w:trHeight w:hRule="atLeast" w:val="561"/><w:cantSplit w:val="false"/></w:trPr><w:tc><w:tcPr><w:tcW w:type="dxa" w:w="1952"/><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69"/><w:gridSpan w:val="2"/><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4. Dividendos pagados = Pago de dividendos/Efectivo generado por operaciones</w:t></w:r></w:p></w:tc><w:tc><w:tcPr><w:tcW w:type="dxa" w:w="2110"/><w:vMerge w:val="continue"/><w:tcBorders><w:left w:color="00000A" w:space="0" w:sz="4" w:val="single"/><w:bottom w:color="000001"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90"/><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r><w:tr><w:trPr><w:trHeight w:hRule="atLeast" w:val="541"/><w:cantSplit w:val="false"/></w:trPr><w:tc><w:tcPr><w:tcW w:type="dxa" w:w="1952"/><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69"/><w:gridSpan w:val="2"/><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5. Cobertura de Deudas = Deuda Total / Efectivo generado por operaciones</w:t></w:r></w:p></w:tc><w:tc><w:tcPr><w:tcW w:type="dxa" w:w="2110"/><w:vMerge w:val="continue"/><w:tcBorders><w:left w:color="00000A" w:space="0" w:sz="4" w:val="single"/><w:bottom w:color="000001"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90"/><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r></w:tbl><w:p><w:pPr><w:pStyle w:val="style0"/></w:pPr><w:r><w:rPr></w:rPr></w:r></w:p><w:p><w:pPr><w:pStyle w:val="style0"/></w:pPr><w:r><w:rPr></w:rPr></w:r></w:p><w:p><w:pPr><w:pStyle w:val="style0"/><w:jc w:val="center"/></w:pPr><w:r><w:rPr><w:rFonts w:ascii="Times New Roman" w:hAnsi="Times New Roman"/><w:sz w:val="24"/></w:rPr><w:t>CONT. CUADRO 3</w:t></w:r></w:p><w:tbl><w:tblPr><w:jc w:val="center"/><w:tblBorders><w:top w:color="00000A" w:space="0" w:sz="4" w:val="single"/><w:left w:color="00000A" w:space="0" w:sz="4" w:val="single"/><w:bottom w:color="00000A" w:space="0" w:sz="4" w:val="single"/><w:right w:color="00000A" w:space="0" w:sz="4" w:val="single"/></w:tblBorders></w:tblPr><w:tblGrid><w:gridCol w:w="1952"/><w:gridCol w:w="4669"/><w:gridCol w:w="6799"/></w:tblGrid><w:tr><w:trPr><w:trHeight w:hRule="atLeast" w:val="689"/><w:cantSplit w:val="false"/></w:trPr><w:tc><w:tcPr><w:tcW w:type="dxa" w:w="1952"/><w:tcBorders><w:top w:color="00000A" w:space="0" w:sz="4" w:val="single"/><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69"/><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6. Impacto depreciación y amortización = (Depreciación + Amortización) / Efectivo generado por operaciones</w:t></w:r></w:p></w:tc><w:tc><w:tcPr><w:tcW w:type="dxa" w:w="6799"/><w:gridSpan w:val="2"/><w:tcBorders><w:top w:color="00000A" w:space="0" w:sz="4" w:val="single"/><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r><w:tr><w:trPr><w:trHeight w:hRule="atLeast" w:val="421"/><w:cantSplit w:val="false"/></w:trPr><w:tc><w:tcPr><w:tcW w:type="dxa" w:w="1952"/><w:vMerge w:val="restart"/><w:tcBorders><w:top w:color="00000A" w:space="0" w:sz="4" w:val="single"/><w:left w:color="00000A" w:space="0" w:sz="4" w:val="single"/><w:bottom w:color="000001"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Índices de Eficiencia</w:t></w:r></w:p></w:tc><w:tc><w:tcPr><w:tcW w:type="dxa" w:w="4669"/><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1. Efectivo generado por Ventas = Efectivo generado por Operaciones / Ventas</w:t></w:r></w:p></w:tc><w:tc><w:tcPr><w:tcW w:type="dxa" w:w="2110"/><w:vMerge w:val="restart"/><w:tcBorders><w:top w:color="00000A" w:space="0" w:sz="4" w:val="single"/><w:left w:color="00000A" w:space="0" w:sz="4" w:val="single"/><w:bottom w:color="000001"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Parámetro comparativo interanual o entre empresas del mismo ramo para ver su capacidad de generación de efectivo</w:t></w:r></w:p></w:tc><w:tc><w:tcPr><w:tcW w:type="dxa" w:w="4689"/><w:vMerge w:val="restart"/><w:tcBorders><w:top w:color="00000A" w:space="0" w:sz="4" w:val="single"/><w:left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Los índices se determinan a partir de la comparación del efectivo generado por las ventas, por la utilidad operativa o por los activos y luego se comparan con el índice interno o externo que se haya tomado como base</w:t></w:r></w:p></w:tc></w:tr><w:tr><w:trPr><w:trHeight w:hRule="atLeast" w:val="428"/><w:cantSplit w:val="false"/></w:trPr><w:tc><w:tcPr><w:tcW w:type="dxa" w:w="1952"/><w:vMerge w:val="continue"/><w:tcBorders><w:left w:color="00000A" w:space="0" w:sz="4" w:val="single"/><w:bottom w:color="000001"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69"/><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2. Índice de operaciones = Efectivo generado por operaciones / Ventas</w:t></w:r></w:p></w:tc><w:tc><w:tcPr><w:tcW w:type="dxa" w:w="2110"/><w:vMerge w:val="continue"/><w:tcBorders><w:left w:color="00000A" w:space="0" w:sz="4" w:val="single"/><w:bottom w:color="000001"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89"/><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r><w:tr><w:trPr><w:trHeight w:hRule="atLeast" w:val="857"/><w:cantSplit w:val="false"/></w:trPr><w:tc><w:tcPr><w:tcW w:type="dxa" w:w="1952"/><w:vMerge w:val="continue"/><w:tcBorders><w:left w:color="00000A" w:space="0" w:sz="4" w:val="single"/><w:bottom w:color="000001"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69"/><w:tcBorders><w:top w:color="00000A" w:space="0" w:sz="4" w:val="single"/><w:bottom w:color="00000A" w:space="0" w:sz="4" w:val="single"/><w:right w:color="00000A" w:space="0" w:sz="4" w:val="single"/></w:tcBorders><w:shd w:fill="FFFFFF"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t>3. Efectivo generado por activos = Efectivo generado por operaciones / Total Activo</w:t></w:r></w:p></w:tc><w:tc><w:tcPr><w:tcW w:type="dxa" w:w="2110"/><w:vMerge w:val="continue"/><w:tcBorders><w:left w:color="00000A" w:space="0" w:sz="4" w:val="single"/><w:bottom w:color="000001"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c><w:tcPr><w:tcW w:type="dxa" w:w="4689"/><w:vMerge w:val="continue"/><w:tcBorders><w:left w:color="00000A" w:space="0" w:sz="4" w:val="single"/><w:bottom w:color="00000A" w:space="0" w:sz="4" w:val="single"/><w:right w:color="00000A" w:space="0" w:sz="4" w:val="single"/></w:tcBorders><w:shd w:fill="auto" w:val="clear"/><w:tcMar><w:top w:type="dxa" w:w="0"/><w:left w:type="dxa" w:w="70"/><w:bottom w:type="dxa" w:w="0"/><w:right w:type="dxa" w:w="70"/></w:tcMar><w:vAlign w:val="center"/></w:tcPr><w:p><w:pPr><w:pStyle w:val="style0"/><w:spacing w:after="0" w:before="0" w:line="100" w:lineRule="atLeast"/><w:jc w:val="center"/></w:pPr><w:r><w:rPr><w:rFonts w:ascii="Times New Roman" w:eastAsia="Times New Roman" w:hAnsi="Times New Roman"/><w:color w:val="000000"/><w:sz w:val="24"/><w:szCs w:val="24"/><w:lang w:eastAsia="es-VE" w:val="es-VE"/></w:rPr></w:r></w:p></w:tc></w:tr></w:tbl><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0" w:val="left"/><w:tab w:leader="none" w:pos="4252" w:val="center"/><w:tab w:leader="none" w:pos="8504" w:val="right"/></w:tabs><w:spacing w:line="360" w:lineRule="auto"/><w:jc w:val="both"/></w:pPr><w:r><w:rPr><w:rFonts w:ascii="Times New Roman" w:hAnsi="Times New Roman"/><w:b/><w:sz w:val="24"/><w:szCs w:val="24"/><w:lang w:val="es-VE"/></w:rPr></w:r></w:p><w:p><w:pPr><w:pStyle w:val="style0"/><w:tabs><w:tab w:leader="none" w:pos="0" w:val="left"/><w:tab w:leader="none" w:pos="4252" w:val="center"/><w:tab w:leader="none" w:pos="8504" w:val="right"/></w:tabs><w:spacing w:line="360" w:lineRule="auto"/><w:jc w:val="both"/></w:pPr><w:r><w:rPr><w:rFonts w:ascii="Times New Roman" w:hAnsi="Times New Roman"/><w:b/><w:sz w:val="24"/><w:szCs w:val="24"/><w:lang w:val="es-VE"/></w:rPr><w:t>Propuesta de Cuadro de Mando Integral desde la óptica de la Perspectiva Financiera.</w:t></w:r></w:p><w:p><w:pPr><w:pStyle w:val="style0"/><w:tabs><w:tab w:leader="none" w:pos="0" w:val="left"/><w:tab w:leader="none" w:pos="4252" w:val="center"/><w:tab w:leader="none" w:pos="8504" w:val="right"/></w:tabs><w:spacing w:line="360" w:lineRule="auto"/><w:jc w:val="both"/></w:pPr><w:r><w:rPr><w:rFonts w:ascii="Times New Roman" w:hAnsi="Times New Roman"/><w:sz w:val="24"/><w:szCs w:val="24"/><w:lang w:val="es-VE"/></w:rPr><w:t>A continuación se visualizará el mapa estratégico a partir del cual se basará el Cuadro de Mando Integral propuesto.</w:t></w:r></w:p><w:p><w:pPr><w:pStyle w:val="style0"/><w:tabs><w:tab w:leader="none" w:pos="0" w:val="left"/><w:tab w:leader="none" w:pos="4252" w:val="center"/><w:tab w:leader="none" w:pos="8504" w:val="right"/></w:tabs><w:spacing w:line="360" w:lineRule="auto"/><w:jc w:val="both"/></w:pPr><w:r><w:rPr><w:rFonts w:ascii="Times New Roman" w:hAnsi="Times New Roman"/><w:sz w:val="24"/><w:szCs w:val="24"/><w:lang w:val="es-VE"/></w:rPr></w:r></w:p><w:p><w:pPr><w:pStyle w:val="style0"/><w:tabs><w:tab w:leader="none" w:pos="0" w:val="left"/><w:tab w:leader="none" w:pos="4252" w:val="center"/><w:tab w:leader="none" w:pos="8504" w:val="right"/></w:tabs><w:spacing w:line="360" w:lineRule="auto"/><w:jc w:val="both"/></w:pPr><w:r><w:rPr><w:rFonts w:ascii="Times New Roman" w:hAnsi="Times New Roman"/><w:sz w:val="24"/><w:szCs w:val="24"/><w:lang w:val="es-VE"/></w:rPr></w:r></w:p><w:p><w:pPr><w:pStyle w:val="style0"/><w:tabs><w:tab w:leader="none" w:pos="0" w:val="left"/><w:tab w:leader="none" w:pos="4252" w:val="center"/><w:tab w:leader="none" w:pos="8504" w:val="right"/></w:tabs><w:spacing w:line="360" w:lineRule="auto"/><w:jc w:val="both"/></w:pPr><w:r><w:rPr><w:rFonts w:ascii="Times New Roman" w:hAnsi="Times New Roman"/><w:sz w:val="24"/><w:szCs w:val="24"/><w:lang w:val="es-VE"/></w:rPr></w:r></w:p><w:p><w:pPr><w:pStyle w:val="style0"/><w:tabs><w:tab w:leader="none" w:pos="0" w:val="left"/><w:tab w:leader="none" w:pos="4252" w:val="center"/><w:tab w:leader="none" w:pos="8504" w:val="right"/></w:tabs><w:spacing w:line="360" w:lineRule="auto"/><w:jc w:val="both"/></w:pPr><w:r><w:rPr><w:rFonts w:ascii="Times New Roman" w:hAnsi="Times New Roman"/><w:sz w:val="24"/><w:szCs w:val="24"/><w:lang w:val="es-VE"/></w:rPr></w:r></w:p><w:p><w:pPr><w:pStyle w:val="style0"/><w:tabs><w:tab w:leader="none" w:pos="0" w:val="left"/><w:tab w:leader="none" w:pos="4252" w:val="center"/><w:tab w:leader="none" w:pos="8504" w:val="right"/></w:tabs><w:spacing w:line="360" w:lineRule="auto"/><w:jc w:val="center"/></w:pPr><w:r><w:rPr><w:rFonts w:ascii="Times New Roman" w:hAnsi="Times New Roman"/><w:b/><w:sz w:val="24"/><w:szCs w:val="24"/><w:lang w:val="es-VE"/></w:rPr><w:t xml:space="preserve">FIGURA 3. </w:t></w:r><w:r><w:rPr><w:rFonts w:ascii="Times New Roman" w:hAnsi="Times New Roman"/><w:sz w:val="24"/><w:szCs w:val="24"/><w:lang w:val="es-VE"/></w:rPr><w:t>Mapa Estratégico del Frigorífico Industrial Carabobo</w:t><w:drawing><wp:anchor allowOverlap="1" behindDoc="0" distB="0" distL="0" distR="0" distT="0" layoutInCell="1" locked="0" relativeHeight="0" simplePos="0"><wp:simplePos x="0" y="0"/><wp:positionH relativeFrom="character"><wp:posOffset>245110</wp:posOffset></wp:positionH><wp:positionV relativeFrom="line"><wp:posOffset>-156845</wp:posOffset></wp:positionV><wp:extent cx="6806565" cy="4912995"/><wp:effectExtent b="0" l="0" r="0" t="0"/><wp:wrapSquare wrapText="bothSides"/><wp:docPr descr="A description..." id="1" name="Picture"></wp:docPr><wp:cNvGraphicFramePr><a:graphicFrameLocks noChangeAspect="1" xmlns:a="http://schemas.openxmlformats.org/drawingml/2006/main"/></wp:cNvGraphicFramePr><a:graphic xmlns:a="http://schemas.openxmlformats.org/drawingml/2006/main"><a:graphicData uri="http://schemas.openxmlformats.org/drawingml/2006/picture"><pic:pic xmlns:pic="http://schemas.openxmlformats.org/drawingml/2006/picture"><pic:nvPicPr><pic:cNvPr descr="A description..." id="0" name="Picture"></pic:cNvPr><pic:cNvPicPr><a:picLocks noChangeArrowheads="1" noChangeAspect="1"/></pic:cNvPicPr></pic:nvPicPr><pic:blipFill><a:blip r:embed="rId31"/><a:srcRect/><a:stretch><a:fillRect/></a:stretch></pic:blipFill><pic:spPr bwMode="auto"><a:xfrm><a:off x="0" y="0"/><a:ext cx="6806565" cy="4912995"/></a:xfrm><a:prstGeom prst="rect"><a:avLst/></a:prstGeom><a:noFill/><a:ln w="9525"><a:noFill/><a:miter lim="800000"/><a:headEnd/><a:tailEnd/></a:ln></pic:spPr></pic:pic></a:graphicData></a:graphic></wp:anchor></w:drawing></w:r></w:p><w:p><w:pPr><w:pStyle w:val="style55"/><w:tabs><w:tab w:leader="none" w:pos="0" w:val="left"/><w:tab w:leader="none" w:pos="4252" w:val="center"/><w:tab w:leader="none" w:pos="8504" w:val="right"/></w:tabs><w:spacing w:line="360" w:lineRule="auto"/><w:jc w:val="center"/></w:pPr><w:r><w:rPr><w:rFonts w:ascii="Times New Roman" w:hAnsi="Times New Roman"/><w:sz w:val="24"/><w:szCs w:val="24"/><w:lang w:val="es-VE"/></w:rPr><w:t>Fuente: Bello, V. (2015)</w:t></w:r></w:p><w:p><w:pPr><w:pStyle w:val="style55"/></w:pPr><w:r><w:rPr></w:rPr></w:r></w:p><w:p><w:pPr><w:pStyle w:val="style44"/></w:pPr><w:r><w:rPr></w:rPr></w:r></w:p><w:p><w:pPr><w:sectPr><w:type w:val="continuous"/><w:pgSz w:h="15840" w:w="12240"/><w:pgMar w:bottom="1646" w:footer="1134" w:gutter="0" w:header="0" w:left="1134" w:right="1134" w:top="1134"/><w:formProt w:val="false"/><w:textDirection w:val="lrTb"/></w:sectPr></w:pPr></w:p><w:p><w:pPr><w:pStyle w:val="style0"/><w:tabs><w:tab w:leader="none" w:pos="0" w:val="left"/><w:tab w:leader="none" w:pos="4252" w:val="center"/><w:tab w:leader="none" w:pos="8504" w:val="right"/></w:tabs><w:spacing w:line="360" w:lineRule="auto"/><w:jc w:val="center"/></w:pPr><w:r><w:rPr><w:rFonts w:ascii="Times New Roman" w:hAnsi="Times New Roman"/><w:b/><w:sz w:val="24"/><w:szCs w:val="24"/><w:lang w:val="es-VE"/></w:rPr><w:t>CUADRO 4</w:t></w:r><w:r><w:rPr><w:rFonts w:ascii="Times New Roman" w:hAnsi="Times New Roman"/><w:sz w:val="24"/><w:szCs w:val="24"/><w:lang w:val="es-VE"/></w:rPr><w:t>. Cuadro de Mando Integral propuesto para el Frigorífico Industrial Carabobo</w:t></w:r></w:p><w:tbl><w:tblPr><w:jc w:val="center"/><w:tblBorders><w:top w:color="000001" w:space="0" w:sz="4" w:val="single"/><w:left w:color="000001" w:space="0" w:sz="4" w:val="single"/><w:bottom w:color="000001" w:space="0" w:sz="4" w:val="single"/><w:right w:color="000001" w:space="0" w:sz="4" w:val="single"/></w:tblBorders></w:tblPr><w:tblGrid><w:gridCol w:w="2036"/><w:gridCol w:w="2038"/><w:gridCol w:w="2039"/><w:gridCol w:w="2040"/></w:tblGrid><w:tr><w:trPr><w:cantSplit w:val="false"/></w:trPr><w:tc><w:tcPr><w:tcW w:type="dxa" w:w="2036"/><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tabs><w:tab w:leader="none" w:pos="709" w:val="left"/><w:tab w:leader="none" w:pos="4252" w:val="center"/><w:tab w:leader="none" w:pos="8504" w:val="right"/></w:tabs><w:spacing w:after="0" w:before="0" w:line="100" w:lineRule="atLeast"/><w:jc w:val="center"/></w:pPr><w:r><w:rPr><w:rFonts w:ascii="Times New Roman" w:hAnsi="Times New Roman"/><w:sz w:val="24"/><w:szCs w:val="24"/><w:lang w:val="es-VE"/></w:rPr><w:t>Objetivos Estratégicos</w:t></w:r></w:p></w:tc><w:tc><w:tcPr><w:tcW w:type="dxa" w:w="203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tabs><w:tab w:leader="none" w:pos="709" w:val="left"/><w:tab w:leader="none" w:pos="4252" w:val="center"/><w:tab w:leader="none" w:pos="8504" w:val="right"/></w:tabs><w:spacing w:after="0" w:before="0" w:line="100" w:lineRule="atLeast"/><w:jc w:val="center"/></w:pPr><w:r><w:rPr><w:rFonts w:ascii="Times New Roman" w:hAnsi="Times New Roman"/><w:sz w:val="24"/><w:szCs w:val="24"/><w:lang w:val="es-VE"/></w:rPr><w:t>Indicador de Resultados (Efecto)</w:t></w:r></w:p></w:tc><w:tc><w:tcPr><w:tcW w:type="dxa" w:w="2039"/><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tabs><w:tab w:leader="none" w:pos="709" w:val="left"/><w:tab w:leader="none" w:pos="4252" w:val="center"/><w:tab w:leader="none" w:pos="8504" w:val="right"/></w:tabs><w:spacing w:after="0" w:before="0" w:line="100" w:lineRule="atLeast"/><w:jc w:val="center"/></w:pPr><w:r><w:rPr><w:rFonts w:ascii="Times New Roman" w:hAnsi="Times New Roman"/><w:sz w:val="24"/><w:szCs w:val="24"/><w:lang w:val="es-VE"/></w:rPr><w:t>Indicador Guía (Causa)</w:t></w:r></w:p></w:tc><w:tc><w:tcPr><w:tcW w:type="dxa" w:w="2040"/><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vAlign w:val="center"/></w:tcPr><w:p><w:pPr><w:pStyle w:val="style0"/><w:tabs><w:tab w:leader="none" w:pos="709" w:val="left"/><w:tab w:leader="none" w:pos="4252" w:val="center"/><w:tab w:leader="none" w:pos="8504" w:val="right"/></w:tabs><w:spacing w:after="0" w:before="0" w:line="100" w:lineRule="atLeast"/><w:jc w:val="center"/></w:pPr><w:r><w:rPr><w:rFonts w:ascii="Times New Roman" w:hAnsi="Times New Roman"/><w:sz w:val="24"/><w:szCs w:val="24"/><w:lang w:val="es-VE"/></w:rPr><w:t>Iniciativas</w:t></w:r></w:p></w:tc></w:tr><w:tr><w:trPr><w:cantSplit w:val="false"/></w:trPr><w:tc><w:tcPr><w:tcW w:type="dxa" w:w="2036"/><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tcPr><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-Reducir los costos operativos.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-Garantizar el capital de trabajo para la operatividad de la empresa.</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-Reducir el grado de apalancamiento de la empresa.</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-Aumentar la rentabilidad de la empresa.</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-Capacitar al capital humano de la empresa en las áreas administrativas-contables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-Impulsar el compromiso de los que integran la organización con los objetivos establecidos.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-Ampliar la plataforma tecnológica que permita mayor control de las actividades que se desempeñan dentro de la empresa.</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-Diversificar la cartera de productos y clientes.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-Innovar en el proceso productivo para lograr un sistema eficiente en el uso de los recursos.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-Crear una relación de fidelización con los clientes.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tc><w:tc><w:tcPr><w:tcW w:type="dxa" w:w="2038"/><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tcPr><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-Variación porcentual de los Costos Operativos.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 Rendimiento sobre el Capital de Trabajo.</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 Razón de Endeudamiento</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-Margen de Utilidad Neta</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-Mejor en ejecución de los procesos.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-Mayor capacidad de respuesta frente a resultados eficientes.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-Indicador de Cumplimiento de objetivos.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-Estaciones de trabajo equipadas con sistemas administrativos para la mejora del proceso.</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-Porcentaje de ventas por línea de productos.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-Reducción de la merma y de residuos provenientes del proceso productivo.</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-Reconocimiento de la empresa en el mercado.</w:t></w:r></w:p></w:tc><w:tc><w:tcPr><w:tcW w:type="dxa" w:w="2039"/><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tcPr><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-Variación porcentual de las Ventas.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-Variación porcentual de los Pasivos a corto plazo.</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-Total de financiamiento recibido por terceros.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-Porcentaje de los costos operativos respecto a las ventas.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-Bajos índices de productividad y de Resultados frente a los procesos.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-Inexistencia de planificación que permita establecer metas para su cumplimiento.</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-Información incompleta que no recoge los aspectos esenciales de los procesos.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-Dependencia de una línea de servicio.</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-Altos niveles de merma.</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-Altos niveles de generación de residuos.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-Poca participación en el mercado.</w:t></w:r></w:p></w:tc><w:tc><w:tcPr><w:tcW w:type="dxa" w:w="2040"/><w:tcBorders><w:top w:color="000001" w:space="0" w:sz="4" w:val="single"/><w:left w:color="000001" w:space="0" w:sz="4" w:val="single"/><w:bottom w:color="000001" w:space="0" w:sz="4" w:val="single"/><w:right w:color="000001" w:space="0" w:sz="4" w:val="single"/></w:tcBorders><w:shd w:fill="FFFFFF" w:val="clear"/><w:tcMar><w:top w:type="dxa" w:w="0"/><w:left w:type="dxa" w:w="108"/><w:bottom w:type="dxa" w:w="0"/><w:right w:type="dxa" w:w="108"/></w:tcMar></w:tcPr><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Planes de conservación de cartera de clientes.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Mejora en la gestión de las Cuentas por Cobrar.</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-Mejorar la gestión de capital propio.</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-Evaluar y optimizar la estructura costos.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-Evaluar diferentes cursos y/o talleres de capacitación.</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-Realizar jornadas de integración entre los empleados y directivos de la empresa.</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-Contratar sistemas administrativos-contables que permitan el manejo digital y eficiente de los procesos operativos.</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-Estudiar el mercado cárnico para la inclusión de los subproductos en función a otros nichos de mercado.</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-Incorporar procesos de normalización enmarcados en las normas ISO.</w:t></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t>-Construir una plataforma de marketing que permita la relación empresa-cliente de una manera más humana.</w:t></w:r></w:p></w:tc></w:tr></w:tbl><w:p><w:pPr><w:pStyle w:val="style0"/><w:tabs><w:tab w:leader="none" w:pos="0" w:val="left"/><w:tab w:leader="none" w:pos="4252" w:val="center"/><w:tab w:leader="none" w:pos="8504" w:val="right"/></w:tabs><w:spacing w:line="360" w:lineRule="auto"/><w:jc w:val="both"/></w:pPr><w:r><w:rPr><w:rFonts w:ascii="Times New Roman" w:hAnsi="Times New Roman"/><w:sz w:val="24"/><w:szCs w:val="24"/><w:lang w:val="es-VE"/></w:rPr><w:t>Fuente: Bello, V. (2015) a partir del mapa estratégico de Norton y Kaplan.</w:t></w:r></w:p><w:p><w:pPr><w:pStyle w:val="style0"/><w:tabs><w:tab w:leader="none" w:pos="0" w:val="left"/><w:tab w:leader="none" w:pos="4252" w:val="center"/><w:tab w:leader="none" w:pos="8504" w:val="right"/></w:tabs><w:spacing w:line="360" w:lineRule="auto"/><w:jc w:val="both"/></w:pPr><w:r><w:rPr><w:rFonts w:ascii="Times New Roman" w:hAnsi="Times New Roman"/><w:b/><w:sz w:val="24"/><w:szCs w:val="24"/><w:lang w:val="es-VE"/></w:rPr></w:r></w:p><w:p><w:pPr><w:pStyle w:val="style0"/><w:tabs><w:tab w:leader="none" w:pos="709" w:val="left"/><w:tab w:leader="none" w:pos="4252" w:val="center"/><w:tab w:leader="none" w:pos="8504" w:val="right"/></w:tabs><w:spacing w:after="0" w:before="0" w:line="360" w:lineRule="auto"/><w:ind w:hanging="0" w:left="0" w:right="-1"/><w:jc w:val="both"/></w:pPr><w:r><w:rPr><w:rFonts w:ascii="Times New Roman" w:hAnsi="Times New Roman"/><w:sz w:val="24"/><w:szCs w:val="24"/><w:lang w:val="es-VE"/></w:rPr></w:r></w:p><w:p><w:pPr><w:pStyle w:val="style0"/><w:tabs><w:tab w:leader="none" w:pos="709" w:val="left"/><w:tab w:leader="none" w:pos="4252" w:val="center"/><w:tab w:leader="none" w:pos="8504" w:val="right"/></w:tabs><w:spacing w:after="0" w:before="0" w:line="100" w:lineRule="atLeast"/><w:ind w:hanging="0" w:left="0" w:right="-1"/><w:jc w:val="both"/></w:pPr><w:r><w:rPr><w:rFonts w:ascii="Times New Roman" w:hAnsi="Times New Roman"/><w:sz w:val="24"/><w:szCs w:val="24"/><w:lang w:val="es-VE"/></w:rPr></w:r></w:p><w:p><w:pPr><w:pStyle w:val="style1"/><w:spacing w:after="720" w:before="0" w:line="100" w:lineRule="atLeast"/><w:jc w:val="center"/></w:pPr><w:bookmarkStart w:id="285" w:name="__RefHeading__24312_1557213427"/><w:bookmarkStart w:id="286" w:name="_Toc432365762"/><w:bookmarkEnd w:id="285"/><w:r><w:rPr><w:rFonts w:ascii="Times New Roman" w:hAnsi="Times New Roman"/><w:sz w:val="24"/><w:szCs w:val="24"/><w:lang w:val="es-ES"/></w:rPr><w:t>CONCLUSIONES</w:t></w:r><w:bookmarkEnd w:id="286"/><w:r><w:rPr><w:rFonts w:ascii="Times New Roman" w:hAnsi="Times New Roman"/><w:sz w:val="24"/><w:szCs w:val="24"/><w:lang w:val="es-ES"/></w:rPr><w:t xml:space="preserve"> </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El Frigorífico Industrial Carabobo (FRINCA), representa una de las empresas del sector en el eje central, más importantes como prestadora del servicio a los mayoristas y proveedores de las reses bovinas y porcinas, para la posterior distribución a los mercados minoristas. Esto dado los estándares de calidad a la hora de realizar las actividades relacionadas al “beneficio” de los animales. Igualmente, por su aprovechamiento en la comercialización de los subproductos que representan porción importante en los ingresos por venta de la empresa. </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Sin embargo, el manejo financiero que lleva la empresa a la fecha, se evidencia con la evaluación de los estados financieros cuyos resultados dan a conocer una salud financiera poco favorable, para la presentación de una gestión eficiente en el manejo de los recursos, aplicación de políticas de ventas y objetivos de rentabilidad, especialmente en el corto plazo, ello evidenciado en el manejo del capital de trabajo, aunado a ello, existen tendencias a recurrir al apalancamiento externo para mantener las operaciones, sin acompañarlo de una política sistematizadas de cobro que permita generar el efectivo suficiente para asumir los compromisos pendientes, elemento que es fundamental para mantener el valor del dinero en el tiempo frente a un entorno de mercado altamente inflacionario. </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En función al análisis de los factores internos y externos diagnosticadas a raíz de dicha evaluación, se puede percatar la necesidad de optimizar los procesos administrativos-financieros que permitan la mejora de los resultados, visto a través de la proyección que se realice luego de la implementación del plan financiero, desarrollado en el Capítulo III, a través de una evaluación posterior, y así acercarse a “¿Qué debemos hacer para satisfacer las expectativas de nuestros accionistas?”.</w:t></w:r></w:p><w:p><w:pPr><w:pStyle w:val="style0"/><w:spacing w:after="720" w:before="0" w:line="360" w:lineRule="auto"/><w:jc w:val="both"/></w:pPr><w:r><w:rPr><w:rFonts w:ascii="Times New Roman" w:hAnsi="Times New Roman"/><w:sz w:val="24"/><w:szCs w:val="24"/><w:lang w:val="es-ES"/></w:rPr><w:t>En este sentido, el manejo y desarrollo de un conjunto de indicadores es de vital importancia a la hora de aplicar los cambios necesarios, puesto que estos permiten realizar mediciones, detectar desviaciones y proponer correcciones y mejoras que devuelvan al ritmo deseado por la empresa.</w:t></w:r></w:p><w:p><w:pPr><w:pStyle w:val="style0"/><w:spacing w:after="720" w:before="0" w:line="360" w:lineRule="auto"/><w:jc w:val="both"/></w:pPr><w:r><w:rPr><w:rFonts w:ascii="Times New Roman" w:hAnsi="Times New Roman"/><w:sz w:val="24"/><w:szCs w:val="24"/><w:lang w:val="es-ES"/></w:rPr><w:t xml:space="preserve">Este conjunto de indicadores recogen la valoración de diferentes aspectos dentro del Frigorífico Industrial Carabobo, elementos que van más allá de los aspectos meramente económicos y financieros, puesto que, las áreas de gestión, manejo administrativo y de procesos suponen mejoras en términos de eficiencia que a la larga inciden sobre el rendimiento financiero de la empresa; por este motivo, esta propuesta también aborda la implementación de políticas de innovación, fidelización de clientes, ampliación de la plataforma tecnológica y la diversificación de la cartera de productos. </w:t></w:r></w:p><w:p><w:pPr><w:pStyle w:val="style0"/><w:spacing w:after="720" w:before="0" w:line="360" w:lineRule="auto"/><w:jc w:val="both"/></w:pPr><w:r><w:rPr><w:rFonts w:ascii="Times New Roman" w:hAnsi="Times New Roman"/><w:sz w:val="24"/><w:szCs w:val="24"/><w:lang w:val="es-ES"/></w:rPr></w:r></w:p><w:p><w:pPr><w:pStyle w:val="style0"/><w:spacing w:after="720" w:before="0" w:line="360" w:lineRule="auto"/><w:jc w:val="both"/></w:pPr><w:r><w:rPr><w:rFonts w:ascii="Times New Roman" w:hAnsi="Times New Roman"/><w:sz w:val="24"/><w:szCs w:val="24"/><w:lang w:val="es-ES"/></w:rPr></w:r></w:p><w:p><w:pPr><w:pStyle w:val="style0"/><w:spacing w:after="720" w:before="0" w:line="360" w:lineRule="auto"/><w:jc w:val="both"/></w:pPr><w:r><w:rPr><w:rFonts w:ascii="Times New Roman" w:hAnsi="Times New Roman"/><w:sz w:val="24"/><w:szCs w:val="24"/><w:lang w:val="es-ES"/></w:rPr></w:r></w:p><w:p><w:pPr><w:pStyle w:val="style0"/><w:spacing w:after="720" w:before="0" w:line="360" w:lineRule="auto"/><w:jc w:val="both"/></w:pPr><w:r><w:rPr><w:rFonts w:ascii="Times New Roman" w:hAnsi="Times New Roman"/><w:sz w:val="24"/><w:szCs w:val="24"/><w:lang w:val="es-ES"/></w:rPr></w:r></w:p><w:p><w:pPr><w:pStyle w:val="style0"/><w:spacing w:after="720" w:before="0" w:line="360" w:lineRule="auto"/><w:jc w:val="both"/></w:pPr><w:r><w:rPr><w:rFonts w:ascii="Times New Roman" w:hAnsi="Times New Roman"/><w:sz w:val="24"/><w:szCs w:val="24"/><w:lang w:val="es-ES"/></w:rPr></w:r></w:p><w:p><w:pPr><w:pStyle w:val="style0"/><w:spacing w:after="720" w:before="0" w:line="360" w:lineRule="auto"/><w:jc w:val="center"/></w:pPr><w:r><w:rPr><w:rFonts w:ascii="Times New Roman" w:hAnsi="Times New Roman"/><w:b/><w:sz w:val="24"/><w:szCs w:val="24"/><w:lang w:val="es-ES"/></w:rPr><w:t>RECOMENDACIONES</w:t></w:r></w:p><w:p><w:pPr><w:pStyle w:val="style0"/><w:spacing w:after="720" w:before="0" w:line="360" w:lineRule="auto"/><w:jc w:val="both"/></w:pPr><w:r><w:rPr><w:rFonts w:ascii="Times New Roman" w:hAnsi="Times New Roman"/><w:sz w:val="24"/><w:szCs w:val="24"/><w:lang w:val="es-ES"/></w:rPr><w:t xml:space="preserve">     </w:t></w:r><w:r><w:rPr><w:rFonts w:ascii="Times New Roman" w:hAnsi="Times New Roman"/><w:sz w:val="24"/><w:szCs w:val="24"/><w:lang w:val="es-ES"/></w:rPr><w:t xml:space="preserve">La aplicación de este plan, permitirá orientar a los niveles de alta gerencia para la consecución de los objetivos estratégicos establecidos. Para ello, se debería ejecutar el Cuadro de Mando Integral a través de un estudio desde el punto de vista del Cliente, Interna y, de Aprendizaje y Crecimiento; basado en la propuesta acá presente.  Esto ayudará a tener una perspectiva interna y externa de la empresa, que proporcionará mayores factores que engloban el entorno empresarial y así tener una visión más clara de hacia dónde dirigir los esfuerzos que conlleven al posicionamiento en el mercado del sector cárnico. </w:t></w:r></w:p><w:p><w:pPr><w:pStyle w:val="style0"/><w:spacing w:after="720" w:before="0" w:line="360" w:lineRule="auto"/><w:jc w:val="both"/></w:pPr><w:r><w:rPr><w:rFonts w:ascii="Times New Roman" w:hAnsi="Times New Roman"/><w:sz w:val="24"/><w:szCs w:val="24"/><w:lang w:val="es-ES"/></w:rPr><w:t xml:space="preserve">El darle un carácter integral a esta propuesta, genera herramientas suficientes para enfrentar un mercado marcado por la incertidumbre como lo es el venezolano, en donde se dificulta realizar proyecciones y estimaciones a mediano y largo plazo, y que obliga al entorno empresarial a un proceso constante de adaptación y renovación ante los cambios; el Frigorífico Industrial Carabobo, no escapa a este panorama, es por ello que en la medida que implemente con prontitud las medidas planteadas en este trabajo, podrá entender su situación actual, y proyectar su evolución futura. </w:t></w:r></w:p><w:p><w:pPr><w:pStyle w:val="style0"/><w:spacing w:after="720" w:before="0" w:line="360" w:lineRule="auto"/><w:jc w:val="both"/></w:pPr><w:r><w:rPr><w:rFonts w:ascii="Times New Roman" w:hAnsi="Times New Roman"/><w:sz w:val="24"/><w:szCs w:val="24"/><w:lang w:val="es-ES"/></w:rPr></w:r></w:p><w:p><w:pPr><w:pStyle w:val="style0"/><w:spacing w:after="720" w:before="0" w:line="360" w:lineRule="auto"/><w:jc w:val="both"/></w:pPr><w:r><w:rPr><w:rFonts w:ascii="Times New Roman" w:hAnsi="Times New Roman"/><w:sz w:val="24"/><w:szCs w:val="24"/><w:lang w:val="es-ES"/></w:rPr></w:r></w:p><w:p><w:pPr><w:pStyle w:val="style0"/><w:spacing w:after="720" w:before="0" w:line="360" w:lineRule="auto"/><w:jc w:val="both"/></w:pPr><w:r><w:rPr><w:rFonts w:ascii="Times New Roman" w:hAnsi="Times New Roman"/><w:sz w:val="24"/><w:szCs w:val="24"/><w:lang w:val="es-ES"/></w:rPr></w:r></w:p><w:p><w:pPr><w:pStyle w:val="style1"/><w:spacing w:after="720" w:before="300"/><w:jc w:val="center"/></w:pPr><w:bookmarkStart w:id="287" w:name="_Toc323927342"/><w:bookmarkStart w:id="288" w:name="_Toc323927122"/><w:bookmarkStart w:id="289" w:name="_Toc323926904"/><w:bookmarkStart w:id="290" w:name="_Toc297880078"/><w:bookmarkStart w:id="291" w:name="_Toc432365763"/><w:bookmarkStart w:id="292" w:name="__RefHeading__24314_1557213427"/><w:bookmarkStart w:id="293" w:name="Bookmark2"/><w:bookmarkEnd w:id="292"/><w:bookmarkEnd w:id="287"/><w:bookmarkEnd w:id="288"/><w:bookmarkEnd w:id="289"/><w:bookmarkEnd w:id="290"/><w:bookmarkEnd w:id="291"/><w:bookmarkEnd w:id="293"/><w:r><w:rPr><w:rFonts w:ascii="Times New Roman" w:hAnsi="Times New Roman"/><w:sz w:val="24"/><w:szCs w:val="24"/><w:lang w:val="es-ES"/></w:rPr><w:t>LISTA DE REFERENCIAS</w:t></w:r></w:p><w:p><w:pPr><w:pStyle w:val="style0"/><w:tabs><w:tab w:leader="none" w:pos="1843" w:val="left"/><w:tab w:leader="none" w:pos="2268" w:val="left"/></w:tabs><w:spacing w:line="100" w:lineRule="atLeast"/><w:ind w:hanging="567" w:left="567" w:right="0"/><w:jc w:val="both"/></w:pPr><w:r><w:rPr><w:rFonts w:ascii="Times New Roman" w:hAnsi="Times New Roman"/><w:sz w:val="24"/><w:szCs w:val="24"/></w:rPr><w:t xml:space="preserve">Altuve, Germán (1996). </w:t></w:r><w:r><w:rPr><w:rFonts w:ascii="Times New Roman" w:hAnsi="Times New Roman"/><w:b/><w:sz w:val="24"/><w:szCs w:val="24"/></w:rPr><w:t>Alcances de La Administración Financiera en el Último Cuarto de Siglo</w:t></w:r><w:r><w:rPr><w:rFonts w:ascii="Times New Roman" w:hAnsi="Times New Roman"/><w:sz w:val="24"/><w:szCs w:val="24"/></w:rPr><w:t>. Escuela de Administración y Contaduría Pública Facultad de Ciencias Económicas y Sociales de la Universidad de Los Andes. Revista Economía No. 12. Edición Especial. Disponible en: http://www.saber.ula.ve/bitstream/123456789/19197/2/articulo1.pdf</w:t></w:r></w:p><w:p><w:pPr><w:pStyle w:val="style0"/><w:tabs><w:tab w:leader="none" w:pos="2268" w:val="left"/></w:tabs><w:spacing w:line="100" w:lineRule="atLeast"/><w:ind w:hanging="567" w:left="567" w:right="0"/><w:jc w:val="both"/></w:pPr><w:r><w:rPr><w:rFonts w:ascii="Times New Roman" w:hAnsi="Times New Roman"/><w:sz w:val="24"/><w:szCs w:val="24"/></w:rPr><w:t xml:space="preserve">Amaya, Jairo (2007). </w:t></w:r><w:r><w:rPr><w:rFonts w:ascii="Times New Roman" w:hAnsi="Times New Roman"/><w:b/><w:sz w:val="24"/><w:szCs w:val="24"/></w:rPr><w:t>Gerencia: Planeación &amp; Estrategia.</w:t></w:r><w:r><w:rPr><w:rFonts w:ascii="Times New Roman" w:hAnsi="Times New Roman"/><w:sz w:val="24"/><w:szCs w:val="24"/></w:rPr><w:t xml:space="preserve"> Libro On line. Disponible en: http://books.google.co.ve/books?hl=es&amp;lr=&amp;id=8Flzg6f8dOsC&amp;oi=fnd&amp;pg=PA39&amp;dq=analisis+dofa&amp;ots=g4iy-PXFJE&amp;sig=yM0J93mM8cD5s3E-FTZIg_17C8s&amp;redir_esc=y#v=onepage&amp;q=analisis%20dofa&amp;f=false.</w:t></w:r></w:p><w:p><w:pPr><w:pStyle w:val="style0"/><w:tabs><w:tab w:leader="none" w:pos="2268" w:val="left"/></w:tabs><w:spacing w:line="100" w:lineRule="atLeast"/><w:ind w:hanging="567" w:left="567" w:right="0"/><w:jc w:val="both"/></w:pPr><w:r><w:rPr><w:rFonts w:ascii="Times New Roman" w:hAnsi="Times New Roman"/><w:sz w:val="24"/><w:szCs w:val="24"/></w:rPr><w:t xml:space="preserve">Arias, Fidias (2006). </w:t></w:r><w:r><w:rPr><w:rFonts w:ascii="Times New Roman" w:hAnsi="Times New Roman"/><w:b/><w:sz w:val="24"/><w:szCs w:val="24"/></w:rPr><w:t xml:space="preserve">El Proyecto de Investigación, Introducción a la Metodología Científica. </w:t></w:r><w:r><w:rPr><w:rFonts w:ascii="Times New Roman" w:hAnsi="Times New Roman"/><w:sz w:val="24"/><w:szCs w:val="24"/></w:rPr><w:t>5ta Edición. Editorial Episteme. Caracas-Venezuela.</w:t></w:r></w:p><w:p><w:pPr><w:pStyle w:val="style0"/><w:spacing w:line="100" w:lineRule="atLeast"/><w:ind w:hanging="567" w:left="567" w:right="0"/><w:jc w:val="both"/></w:pPr><w:r><w:rPr><w:rFonts w:ascii="Times New Roman" w:hAnsi="Times New Roman"/><w:iCs/><w:sz w:val="24"/><w:szCs w:val="24"/></w:rPr><w:t xml:space="preserve">Batista, Joao y Rodríguez, Ricardo (2004). </w:t></w:r><w:r><w:rPr><w:rFonts w:ascii="Times New Roman" w:hAnsi="Times New Roman"/><w:b/><w:bCs/><w:sz w:val="24"/><w:szCs w:val="24"/></w:rPr><w:t xml:space="preserve">Una Nueva Visión del Cuadro de Mando Integral para el Sector Público. </w:t></w:r><w:r><w:rPr><w:rFonts w:ascii="Times New Roman" w:hAnsi="Times New Roman"/><w:bCs/><w:sz w:val="24"/><w:szCs w:val="24"/></w:rPr><w:t>Disponible en: http://www.observatorio-iberoamericano.org/RICG/n%C2%BA%204/Joao%20Batista%20Barros%20y%20Ricardo%20Rodr%C3%ADguez%20Gonz%C3%A1lez.pdf</w:t></w:r></w:p><w:p><w:pPr><w:pStyle w:val="style0"/><w:spacing w:line="100" w:lineRule="atLeast"/><w:ind w:hanging="567" w:left="567" w:right="0"/><w:jc w:val="both"/></w:pPr><w:r><w:rPr><w:rFonts w:ascii="Times New Roman" w:hAnsi="Times New Roman"/><w:sz w:val="24"/><w:szCs w:val="24"/></w:rPr><w:t xml:space="preserve">Bastidas, Eunice y Ripoll, Vicente (2003). </w:t></w:r><w:r><w:rPr><w:rFonts w:ascii="Times New Roman" w:hAnsi="Times New Roman"/><w:b/><w:sz w:val="24"/><w:szCs w:val="24"/></w:rPr><w:t>Una Aproximación a las Implicaciones del Cuadro de Mando Integral en las Organizaciones del Sector Público.</w:t></w:r><w:r><w:rPr><w:rFonts w:ascii="Times New Roman" w:hAnsi="Times New Roman"/><w:sz w:val="24"/><w:szCs w:val="24"/></w:rPr><w:t xml:space="preserve"> Disponible en: http://redalyc.uaemex.mx/redalyc/pdf/880/88061103.pdf</w:t></w:r></w:p><w:p><w:pPr><w:pStyle w:val="style0"/><w:spacing w:line="100" w:lineRule="atLeast"/><w:ind w:hanging="567" w:left="567" w:right="0"/><w:jc w:val="both"/></w:pPr><w:r><w:rPr><w:rFonts w:ascii="Times New Roman" w:hAnsi="Times New Roman"/><w:sz w:val="24"/><w:szCs w:val="24"/></w:rPr><w:t xml:space="preserve">Chávez, Santiago (2007). </w:t></w:r><w:r><w:rPr><w:rFonts w:ascii="Times New Roman" w:hAnsi="Times New Roman"/><w:b/><w:sz w:val="24"/><w:szCs w:val="24"/></w:rPr><w:t xml:space="preserve">Elaboración de un Tablero de Control Balanceado como Modelo de Administración Estratégico en una Institución; Caso: Cooperativa de Ahorro y Crédito &quot;San José Obrero CIA. LTDA&quot;. </w:t></w:r><w:r><w:rPr><w:rFonts w:ascii="Times New Roman" w:hAnsi="Times New Roman"/><w:sz w:val="24"/><w:szCs w:val="24"/></w:rPr><w:t>Disponible en: http://bibdigital.epn.edu.ec/bitstream/15000/355/1/CD-0769.pdf.</w:t></w:r></w:p><w:p><w:pPr><w:pStyle w:val="style0"/><w:spacing w:line="100" w:lineRule="atLeast"/><w:ind w:hanging="567" w:left="567" w:right="0"/><w:jc w:val="both"/></w:pPr><w:r><w:rPr><w:rFonts w:ascii="Times New Roman" w:hAnsi="Times New Roman"/><w:sz w:val="24"/><w:szCs w:val="24"/></w:rPr><w:t xml:space="preserve">Dulzaides, María y Molina, Ana (2004). </w:t></w:r><w:r><w:rPr><w:rFonts w:ascii="Times New Roman" w:hAnsi="Times New Roman"/><w:b/><w:sz w:val="24"/><w:szCs w:val="24"/></w:rPr><w:t>Análisis documental y de información: dos componentes de un mismo proceso</w:t></w:r><w:r><w:rPr><w:rFonts w:ascii="Times New Roman" w:hAnsi="Times New Roman"/><w:sz w:val="24"/><w:szCs w:val="24"/></w:rPr><w:t>. Disponible en: http://bvs.sld.cu/revistas/aci/vol12_2_04/aci11204.htm</w:t></w:r></w:p><w:p><w:pPr><w:pStyle w:val="style0"/><w:spacing w:line="100" w:lineRule="atLeast"/><w:ind w:hanging="567" w:left="567" w:right="0"/><w:jc w:val="both"/></w:pPr><w:r><w:rPr><w:rFonts w:ascii="Times New Roman" w:hAnsi="Times New Roman"/><w:sz w:val="24"/><w:szCs w:val="24"/></w:rPr><w:t xml:space="preserve">Falcón, Desiree (2009). </w:t></w:r><w:r><w:rPr><w:rFonts w:ascii="Times New Roman" w:hAnsi="Times New Roman"/><w:b/><w:sz w:val="24"/><w:szCs w:val="24"/></w:rPr><w:t>Propuesta de Estrategias Gerenciales para Optimizar la Gestión Financiera de la Empresa Franquicia Technologies Printer Central, C.A, ubicada en la Ciudad de Valencia Estado Carabobo, utilizando como Herramienta de Control el Cuadro de Mando Integral en la actual situación económica de Venezuela</w:t></w:r><w:r><w:rPr><w:rFonts w:ascii="Times New Roman" w:hAnsi="Times New Roman"/><w:sz w:val="24"/><w:szCs w:val="24"/></w:rPr><w:t>. Trabajo Presentado en el Área de Postgrado de la Facultad de Ciencias Económicas y Sociales. Universidad de Carabobo. Bárbula.</w:t></w:r></w:p><w:p><w:pPr><w:pStyle w:val="style0"/><w:spacing w:line="100" w:lineRule="atLeast"/><w:ind w:hanging="567" w:left="567" w:right="0"/><w:jc w:val="both"/></w:pPr><w:r><w:rPr><w:rFonts w:ascii="Times New Roman" w:hAnsi="Times New Roman"/><w:sz w:val="24"/><w:szCs w:val="24"/></w:rPr><w:t xml:space="preserve">Fernández, Alberto (2001). </w:t></w:r><w:r><w:rPr><w:rFonts w:ascii="Times New Roman" w:hAnsi="Times New Roman"/><w:sz w:val="24"/><w:szCs w:val="24"/><w:lang w:val="es-ES"/></w:rPr><w:t xml:space="preserve"> </w:t></w:r><w:r><w:rPr><w:rFonts w:ascii="Times New Roman" w:hAnsi="Times New Roman"/><w:b/><w:sz w:val="24"/><w:szCs w:val="24"/><w:lang w:val="es-ES"/></w:rPr><w:t>El Balance Scorecard, Ayudando a Implantar Estrategias</w:t></w:r><w:r><w:rPr><w:rFonts w:ascii="Times New Roman" w:hAnsi="Times New Roman"/><w:sz w:val="24"/><w:szCs w:val="24"/><w:lang w:val="es-ES"/></w:rPr><w:t>. Disponible en: http://www.hacienda.go.cr/cifh/sidovih/cursos/material_de_apoyo-F-C-CIFH/2MaterialdeapoyocursosCICAP/3GestionyAccionEstrategica/Elbalancedscorecard.pdf.</w:t></w:r></w:p><w:p><w:pPr><w:pStyle w:val="style0"/><w:spacing w:after="0" w:before="0" w:line="100" w:lineRule="atLeast"/><w:ind w:hanging="567" w:left="567" w:right="0"/><w:jc w:val="both"/></w:pPr><w:r><w:rPr><w:rFonts w:ascii="Times New Roman" w:hAnsi="Times New Roman"/><w:sz w:val="24"/><w:szCs w:val="24"/></w:rPr><w:t xml:space="preserve">Flores, Mairím, Vegas Fernando y Rossi, Audrey (2008). </w:t></w:r><w:r><w:rPr><w:rFonts w:ascii="Times New Roman" w:hAnsi="Times New Roman"/><w:b/><w:sz w:val="24"/><w:szCs w:val="24"/></w:rPr><w:t>Análisis de Fortalezas, Oportunidades, Debilidades y Amenazas (F.O.D.A.) al Programa “Misión Árbol” del MPP para el Ambiente, municipio Heres, Estado Bolívar, Venezuela.</w:t></w:r><w:r><w:rPr><w:rFonts w:ascii="Times New Roman" w:hAnsi="Times New Roman"/><w:sz w:val="24"/><w:szCs w:val="24"/></w:rPr><w:t xml:space="preserve"> Disponible en: http://www.saber.ula.ve/bitstream/123456789/30286/1/articulo7.pdf</w:t></w:r></w:p><w:p><w:pPr><w:pStyle w:val="style0"/><w:spacing w:after="0" w:before="0" w:line="100" w:lineRule="atLeast"/><w:ind w:hanging="567" w:left="567" w:right="0"/><w:jc w:val="both"/></w:pPr><w:r><w:rPr><w:rFonts w:ascii="Times New Roman" w:hAnsi="Times New Roman"/><w:sz w:val="24"/><w:szCs w:val="24"/></w:rPr></w:r></w:p><w:p><w:pPr><w:pStyle w:val="style0"/><w:spacing w:line="100" w:lineRule="atLeast"/><w:ind w:hanging="567" w:left="567" w:right="0"/><w:jc w:val="both"/></w:pPr><w:r><w:rPr><w:rFonts w:ascii="Times New Roman" w:hAnsi="Times New Roman"/><w:sz w:val="24"/><w:szCs w:val="24"/><w:lang w:val="es-ES"/></w:rPr><w:t xml:space="preserve">González, Mariangely (2011). </w:t></w:r><w:r><w:rPr><w:rFonts w:ascii="Times New Roman" w:hAnsi="Times New Roman"/><w:b/><w:sz w:val="24"/><w:szCs w:val="24"/><w:lang w:val="es-ES"/></w:rPr><w:t xml:space="preserve">Propuesta de Estrategias para Administrar Asociaciones Cooperativas de Transporte basado en los Principios de Administración Financiera. Caso: Cooperativas De La Jurisdicción del Municipio San Diego del Estado Carabobo. </w:t></w:r><w:r><w:rPr><w:rFonts w:ascii="Times New Roman" w:hAnsi="Times New Roman"/><w:sz w:val="24"/><w:szCs w:val="24"/><w:lang w:val="es-ES"/></w:rPr><w:t>Disponible en: http://produccion-uc.bc.uc.edu.ve/documentos/trabajos/60002F92.pdf</w:t></w:r></w:p><w:p><w:pPr><w:pStyle w:val="style0"/><w:spacing w:line="100" w:lineRule="atLeast"/><w:ind w:hanging="567" w:left="567" w:right="0"/><w:jc w:val="both"/></w:pPr><w:r><w:rPr><w:rFonts w:ascii="Times New Roman" w:hAnsi="Times New Roman"/><w:sz w:val="24"/><w:szCs w:val="24"/><w:lang w:val="es-ES"/></w:rPr><w:t>Hernández Sampieri, R., Fernández Collado, C., y Baptista Lucio, P. (1991).  Metodología de la Investigación. México: McGraw Hill.</w:t></w:r></w:p><w:p><w:pPr><w:pStyle w:val="style0"/><w:spacing w:line="100" w:lineRule="atLeast"/><w:ind w:hanging="567" w:left="567" w:right="0"/><w:jc w:val="both"/></w:pPr><w:r><w:rPr><w:rFonts w:ascii="Times New Roman" w:hAnsi="Times New Roman"/><w:sz w:val="24"/><w:szCs w:val="24"/><w:lang w:val="es-MX"/></w:rPr><w:t xml:space="preserve">Hurtado, I. y Toro, G. (2001). </w:t></w:r><w:r><w:rPr><w:rFonts w:ascii="Times New Roman" w:hAnsi="Times New Roman"/><w:b/><w:sz w:val="24"/><w:szCs w:val="24"/><w:lang w:val="es-MX"/></w:rPr><w:t>Paradigmas y Métodos de Investigación en Tiempos de Cambio</w:t></w:r><w:r><w:rPr><w:rFonts w:ascii="Times New Roman" w:hAnsi="Times New Roman"/><w:sz w:val="24"/><w:szCs w:val="24"/><w:lang w:val="es-MX"/></w:rPr><w:t xml:space="preserve"> (4ta ed); Episteme; Valencia-Venezuela.</w:t></w:r></w:p><w:p><w:pPr><w:pStyle w:val="style0"/><w:spacing w:line="100" w:lineRule="atLeast"/><w:ind w:hanging="567" w:left="567" w:right="0"/><w:jc w:val="both"/></w:pPr><w:r><w:rPr><w:rFonts w:ascii="Times New Roman" w:hAnsi="Times New Roman"/><w:sz w:val="24"/><w:szCs w:val="24"/><w:lang w:val="es-MX"/></w:rPr><w:t xml:space="preserve">Malpica, Mayra (2011). </w:t></w:r><w:r><w:rPr><w:rFonts w:ascii="Times New Roman" w:hAnsi="Times New Roman"/><w:b/><w:sz w:val="24"/><w:szCs w:val="24"/><w:lang w:val="es-MX"/></w:rPr><w:t xml:space="preserve">Evaluación del uso de planes estratégicos basados en la aplicación del cuadro de mando integral como herramienta de control administrativo para optimizar la gestión Financiera. Caso: industria celta, S.A. </w:t></w:r><w:r><w:rPr><w:rFonts w:ascii="Times New Roman" w:hAnsi="Times New Roman"/><w:sz w:val="24"/><w:szCs w:val="24"/><w:lang w:val="es-VE"/></w:rPr><w:t>Trabajo de Grado de Maestría en la Universidad de Carabobo. Postgrado FACES.</w:t></w:r><w:r><w:rPr><w:rFonts w:ascii="Times New Roman" w:hAnsi="Times New Roman"/><w:b/><w:sz w:val="24"/><w:szCs w:val="24"/><w:lang w:val="es-VE"/></w:rPr><w:t xml:space="preserve"> </w:t></w:r><w:r><w:rPr><w:rFonts w:ascii="Times New Roman" w:hAnsi="Times New Roman"/><w:sz w:val="24"/><w:szCs w:val="24"/><w:lang w:val="es-VE"/></w:rPr><w:t>Disponible en: http://produccion-uc.bc.uc.edu.ve/documentos/trabajos/600035D4.pdf</w:t></w:r></w:p><w:p><w:pPr><w:pStyle w:val="style0"/><w:spacing w:line="100" w:lineRule="atLeast"/><w:ind w:hanging="567" w:left="567" w:right="0"/><w:jc w:val="both"/></w:pPr><w:r><w:rPr><w:rFonts w:ascii="Times New Roman" w:hAnsi="Times New Roman"/><w:sz w:val="24"/><w:szCs w:val="24"/><w:lang w:val="es-ES"/></w:rPr><w:t xml:space="preserve">Martínez, Jenny (2005). </w:t></w:r><w:r><w:rPr><w:rFonts w:ascii="Times New Roman" w:hAnsi="Times New Roman"/><w:b/><w:sz w:val="24"/><w:szCs w:val="24"/><w:lang w:val="es-ES"/></w:rPr><w:t>Administración y Organizaciones. Su desarrollo Evolutivo y las Propuestas para el Nuevo Siglo</w:t></w:r><w:r><w:rPr><w:rFonts w:ascii="Times New Roman" w:hAnsi="Times New Roman"/><w:sz w:val="24"/><w:szCs w:val="24"/><w:lang w:val="es-ES"/></w:rPr><w:t>. Semestre Económico, Vol. 8, núm. 16, julio-diciembre. Universidad de Medellín, Colombia. Disponible en: http://www.redalyc.org/pdf/1650/165013663004.pdf</w:t></w:r></w:p><w:p><w:pPr><w:pStyle w:val="style0"/><w:ind w:hanging="426" w:left="426" w:right="0"/><w:jc w:val="both"/></w:pPr><w:r><w:rPr><w:rFonts w:ascii="Times New Roman" w:hAnsi="Times New Roman"/><w:sz w:val="24"/><w:szCs w:val="24"/></w:rPr><w:t xml:space="preserve">Oficina Nacional de Control Comercial Agropecuario (ONCCA) y de la Coordinación de Mercados Ganaderos de la Secretaría de Agricultura, Ganadería, Pesca y Alimentación de la Nación (s/f). </w:t></w:r><w:r><w:rPr><w:rFonts w:ascii="Times New Roman" w:hAnsi="Times New Roman"/><w:b/><w:sz w:val="24"/><w:szCs w:val="24"/></w:rPr><w:t>Mercado de la Carne Vacuna en Argentina</w:t></w:r><w:r><w:rPr><w:rFonts w:ascii="Times New Roman" w:hAnsi="Times New Roman"/><w:sz w:val="24"/><w:szCs w:val="24"/></w:rPr><w:t>. Ministerio de Economía Ganadería en Argentina. Dirección Nacional de Cuentas Nacionales. Disponible</w:t></w:r><w:r><w:rPr><w:rStyle w:val="style22"/><w:rFonts w:ascii="Times New Roman" w:hAnsi="Times New Roman"/><w:b w:val="false"/><w:color w:val="00000A"/><w:sz w:val="24"/><w:szCs w:val="24"/><w:u w:val="none"/></w:rPr><w:t xml:space="preserve">: </w:t></w:r><w:r><w:rPr><w:rFonts w:ascii="Times New Roman" w:hAnsi="Times New Roman"/><w:sz w:val="24"/><w:szCs w:val="24"/></w:rPr><w:t>www.inta.gov.ar/ediciones/idia/carne/carnem03.pdf</w:t></w:r></w:p><w:p><w:pPr><w:pStyle w:val="style0"/><w:tabs><w:tab w:leader="none" w:pos="852" w:val="left"/></w:tabs><w:ind w:hanging="426" w:left="426" w:right="0"/><w:jc w:val="both"/></w:pPr><w:r><w:rPr><w:rFonts w:ascii="Times New Roman" w:hAnsi="Times New Roman"/><w:sz w:val="24"/><w:szCs w:val="24"/></w:rPr><w:t xml:space="preserve">Organización de las Naciones Unidas para la Agricultura y la Alimentación (1993). </w:t></w:r><w:r><w:rPr><w:rFonts w:ascii="Times New Roman" w:hAnsi="Times New Roman"/><w:b/><w:sz w:val="24"/><w:szCs w:val="24"/></w:rPr><w:t>Estructura y funcionamiento de mataderos medianos en países en desarrollo</w:t></w:r><w:r><w:rPr><w:rFonts w:ascii="Times New Roman" w:hAnsi="Times New Roman"/><w:sz w:val="24"/><w:szCs w:val="24"/></w:rPr><w:t xml:space="preserve">. Volumen 97: Producción y Sanidad Animal. </w:t></w:r><w:r><w:rPr><w:rFonts w:ascii="Times New Roman" w:hAnsi="Times New Roman"/><w:sz w:val="24"/><w:szCs w:val="24"/><w:lang w:val="es-VE"/></w:rPr><w:t>Disponible</w:t></w:r><w:r><w:rPr><w:rStyle w:val="style22"/><w:rFonts w:ascii="Times New Roman" w:hAnsi="Times New Roman"/><w:b w:val="false"/><w:color w:val="00000A"/><w:sz w:val="24"/><w:szCs w:val="24"/><w:u w:val="none"/><w:lang w:val="es-VE"/></w:rPr><w:t xml:space="preserve">: </w:t></w:r><w:r><w:rPr><w:rFonts w:ascii="Times New Roman" w:hAnsi="Times New Roman"/><w:sz w:val="24"/><w:szCs w:val="24"/><w:lang w:val="es-VE"/></w:rPr><w:t>http://www.fao.org/DOCREP/004/T0566S/T0566S01.htm.</w:t></w:r></w:p><w:p><w:pPr><w:pStyle w:val="style0"/><w:spacing w:line="100" w:lineRule="atLeast"/><w:ind w:hanging="567" w:left="567" w:right="0"/><w:jc w:val="both"/></w:pPr><w:r><w:rPr><w:rFonts w:ascii="Times New Roman" w:hAnsi="Times New Roman"/><w:sz w:val="24"/><w:szCs w:val="24"/><w:lang w:val="es-VE"/></w:rPr><w:t xml:space="preserve">Pérez, Luis (2012). </w:t></w:r><w:r><w:rPr><w:rFonts w:ascii="Times New Roman" w:hAnsi="Times New Roman"/><w:b/><w:sz w:val="24"/><w:szCs w:val="24"/><w:lang w:val="es-VE"/></w:rPr><w:t xml:space="preserve">Propuesta de Diseño y Aplicabilidad de un Cuadro de Mando Integral (Balanced Scorecard) en la Dirección de Finanzas en la Empresa Corporación Inlaca C.A ubicada en Valencia Edo. Carabobo. </w:t></w:r><w:r><w:rPr><w:rFonts w:ascii="Times New Roman" w:hAnsi="Times New Roman"/><w:sz w:val="24"/><w:szCs w:val="24"/></w:rPr><w:t>Trabajo Presentado en el Área de Postgrado de la Facultad de Ciencias Económicas y Sociales. Universidad de Carabobo. Bárbula.</w:t></w:r></w:p><w:p><w:pPr><w:pStyle w:val="style0"/><w:tabs><w:tab w:leader="none" w:pos="852" w:val="left"/></w:tabs><w:ind w:hanging="426" w:left="426" w:right="0"/><w:jc w:val="both"/></w:pPr><w:r><w:rPr><w:rFonts w:ascii="Times New Roman" w:hAnsi="Times New Roman"/><w:sz w:val="24"/><w:szCs w:val="24"/></w:rPr><w:t xml:space="preserve">Quintero, Julio (2009). </w:t></w:r><w:r><w:rPr><w:rFonts w:ascii="Times New Roman" w:hAnsi="Times New Roman"/><w:b/><w:sz w:val="24"/><w:szCs w:val="24"/></w:rPr><w:t>Planificación Financiera</w:t></w:r><w:r><w:rPr><w:rFonts w:ascii="Times New Roman" w:hAnsi="Times New Roman"/><w:sz w:val="24"/><w:szCs w:val="24"/></w:rPr><w:t>. Disponible en: http://www.eumed.net/ce/2009b/jcqp3.htm.</w:t></w:r></w:p><w:p><w:pPr><w:pStyle w:val="style0"/><w:spacing w:line="100" w:lineRule="atLeast"/><w:ind w:hanging="567" w:left="567" w:right="0"/><w:jc w:val="both"/></w:pPr><w:r><w:rPr><w:rFonts w:ascii="Times New Roman" w:hAnsi="Times New Roman"/><w:sz w:val="24"/><w:szCs w:val="24"/></w:rPr><w:t xml:space="preserve">Rodríguez, Byron (2008). </w:t></w:r><w:r><w:rPr><w:rFonts w:ascii="Times New Roman" w:hAnsi="Times New Roman"/><w:b/><w:sz w:val="24"/><w:szCs w:val="24"/></w:rPr><w:t>La Planificación y Administración Financiera como Herramienta para el Logro de la Estabilidad Financiera, en una empresa de Diagnósticos Clínicos</w:t></w:r><w:r><w:rPr><w:rFonts w:ascii="Times New Roman" w:hAnsi="Times New Roman"/><w:sz w:val="24"/><w:szCs w:val="24"/></w:rPr><w:t xml:space="preserve">. Trabajo en Línea de la Facultad de Ciencias Económicas. Universidad de San Carlos Guatemala. Disponible en: http://biblioteca.usac.edu.gt/tesis/03/03_3148.pdf. </w:t></w:r></w:p><w:p><w:pPr><w:pStyle w:val="style0"/><w:spacing w:line="100" w:lineRule="atLeast"/><w:ind w:hanging="567" w:left="567" w:right="0"/><w:jc w:val="both"/></w:pPr><w:r><w:rPr><w:rFonts w:ascii="Times New Roman" w:hAnsi="Times New Roman"/><w:sz w:val="24"/><w:szCs w:val="24"/><w:lang w:val="es-VE"/></w:rPr><w:t xml:space="preserve">Steiner, George (1983). </w:t></w:r><w:r><w:rPr><w:rFonts w:ascii="Times New Roman" w:hAnsi="Times New Roman"/><w:b/><w:sz w:val="24"/><w:szCs w:val="24"/><w:lang w:val="es-ES"/></w:rPr><w:t>Síntesis: Planeación Estratégica</w:t></w:r><w:r><w:rPr><w:rFonts w:ascii="Times New Roman" w:hAnsi="Times New Roman"/><w:sz w:val="24"/><w:szCs w:val="24"/><w:lang w:val="es-ES"/></w:rPr><w:t>. Disponible en: http://scholar.googleusercontent.com/scholar?q=cache:PJzDu1X_bB8J:scholar.google.com/+planeacion%2Bconcepto&amp;hl=es&amp;as_sdt=0,5.</w:t></w:r></w:p><w:p><w:pPr><w:pStyle w:val="style0"/><w:ind w:hanging="284" w:left="284" w:right="0"/></w:pPr><w:r><w:rPr><w:rFonts w:ascii="Times New Roman" w:hAnsi="Times New Roman"/><w:sz w:val="24"/><w:szCs w:val="24"/></w:rPr><w:t xml:space="preserve">Terán, Andrea (2010). </w:t></w:r><w:r><w:rPr><w:rFonts w:ascii="Times New Roman" w:hAnsi="Times New Roman"/><w:b/><w:sz w:val="24"/><w:szCs w:val="24"/></w:rPr><w:t>Diseño de un modelo de planificación financiera para la Empresa Safetymax Cía. Ltda. con el fin de maximizar utilidades</w:t></w:r><w:r><w:rPr><w:rFonts w:ascii="Times New Roman" w:hAnsi="Times New Roman"/><w:sz w:val="24"/><w:szCs w:val="24"/></w:rPr><w:t>. Disponible en:</w:t></w:r><w:r><w:rPr><w:rStyle w:val="style22"/><w:rFonts w:ascii="Times New Roman" w:hAnsi="Times New Roman"/><w:b w:val="false"/><w:color w:val="00000A"/><w:sz w:val="24"/><w:szCs w:val="24"/><w:u w:val="none"/></w:rPr><w:t xml:space="preserve"> </w:t></w:r><w:r><w:rPr><w:rFonts w:ascii="Times New Roman" w:hAnsi="Times New Roman"/><w:sz w:val="24"/><w:szCs w:val="24"/></w:rPr><w:t>http://www3.espe.edu.ec:8700/handle/21000/1839</w:t></w:r><w:r><w:rPr><w:rStyle w:val="style22"/><w:rFonts w:ascii="Times New Roman" w:hAnsi="Times New Roman"/><w:b w:val="false"/><w:color w:val="00000A"/><w:sz w:val="24"/><w:szCs w:val="24"/><w:u w:val="none"/></w:rPr><w:t>.</w:t></w:r></w:p><w:p><w:pPr><w:pStyle w:val="style0"/><w:spacing w:line="100" w:lineRule="atLeast"/><w:ind w:hanging="567" w:left="567" w:right="0"/><w:jc w:val="both"/></w:pPr><w:r><w:rPr><w:rFonts w:ascii="Times New Roman" w:hAnsi="Times New Roman"/><w:sz w:val="24"/><w:szCs w:val="24"/></w:rPr><w:t xml:space="preserve">Tocuyo, Niniana (2009). </w:t></w:r><w:r><w:rPr><w:rFonts w:ascii="Times New Roman" w:hAnsi="Times New Roman"/><w:b/><w:sz w:val="24"/><w:szCs w:val="24"/></w:rPr><w:t>Plan Estratégico para Optimizar el Uso de los Recursos Financieros en empresa del Sector Siderúrgico. Caso Estudio: Recuperadora Delta, C.A</w:t></w:r><w:r><w:rPr><w:rFonts w:ascii="Times New Roman" w:hAnsi="Times New Roman"/><w:sz w:val="24"/><w:szCs w:val="24"/></w:rPr><w:t>. Trabajo Presentado en el Área de Postgrado de la Facultad de Ciencias Económicas y Sociales. Universidad de Carabobo. Bárbula.</w:t></w:r></w:p><w:p><w:pPr><w:pStyle w:val="style0"/><w:ind w:hanging="284" w:left="284" w:right="0"/><w:jc w:val="both"/></w:pPr><w:r><w:rPr><w:rFonts w:ascii="Times New Roman" w:hAnsi="Times New Roman"/><w:sz w:val="24"/><w:szCs w:val="24"/></w:rPr><w:t xml:space="preserve">Universidad Complutense de Madrid (s/f). </w:t></w:r><w:r><w:rPr><w:rFonts w:ascii="Times New Roman" w:hAnsi="Times New Roman"/><w:b/><w:sz w:val="24"/><w:szCs w:val="24"/></w:rPr><w:t>Redes de Micro Organizaciones Grupo Somosaguas</w:t></w:r><w:r><w:rPr><w:rFonts w:ascii="Times New Roman" w:hAnsi="Times New Roman"/><w:sz w:val="24"/><w:szCs w:val="24"/></w:rPr><w:t xml:space="preserve"> Disponible:</w:t></w:r><w:r><w:rPr><w:rStyle w:val="style22"/><w:rFonts w:ascii="Times New Roman" w:hAnsi="Times New Roman"/><w:b w:val="false"/><w:color w:val="00000A"/><w:sz w:val="24"/><w:szCs w:val="24"/><w:u w:val="none"/></w:rPr><w:t xml:space="preserve"> </w:t></w:r><w:r><w:rPr><w:rStyle w:val="style22"/><w:rFonts w:ascii="Times New Roman" w:hAnsi="Times New Roman"/><w:b w:val="false"/><w:bCs w:val="false"/><w:caps w:val="false"/><w:smallCaps w:val="false"/><w:color w:val="00000A"/><w:sz w:val="24"/><w:szCs w:val="24"/><w:u w:val="none"/></w:rPr><w:t>http://www.ucm.es/info/ecfin3/RMGS/DOP/DOP%20%28nc-2%29%20FF.pdf</w:t></w:r></w:p><w:p><w:pPr><w:pStyle w:val="style0"/><w:ind w:hanging="284" w:left="284" w:right="0"/><w:jc w:val="both"/></w:pPr><w:r><w:rPr><w:rFonts w:ascii="Times New Roman" w:hAnsi="Times New Roman"/><w:sz w:val="24"/><w:szCs w:val="24"/></w:rPr><w:t>Universidad de Carabobo</w:t></w:r><w:r><w:rPr><w:rStyle w:val="style22"/><w:rFonts w:ascii="Times New Roman" w:hAnsi="Times New Roman"/><w:b w:val="false"/><w:color w:val="00000A"/><w:sz w:val="24"/><w:szCs w:val="24"/><w:u w:val="none"/></w:rPr><w:t xml:space="preserve"> </w:t></w:r><w:r><w:rPr><w:rFonts w:ascii="Times New Roman" w:hAnsi="Times New Roman"/><w:sz w:val="24"/><w:szCs w:val="24"/></w:rPr><w:t xml:space="preserve">(2004). </w:t></w:r><w:r><w:rPr><w:rFonts w:ascii="Times New Roman" w:hAnsi="Times New Roman"/><w:b/><w:sz w:val="24"/><w:szCs w:val="24"/></w:rPr><w:t>Normativas para los trabajos de investigación de la Facultad de Ciencias Económicas y Sociales de la Universidad de Carabobo</w:t></w:r><w:r><w:rPr><w:rFonts w:ascii="Times New Roman" w:hAnsi="Times New Roman"/><w:sz w:val="24"/><w:szCs w:val="24"/></w:rPr><w:t xml:space="preserve">. </w:t></w:r><w:r><w:rPr><w:rFonts w:ascii="Times New Roman" w:hAnsi="Times New Roman"/><w:sz w:val="24"/><w:szCs w:val="24"/><w:lang w:val="es-ES"/></w:rPr><w:t>Bárbula: Autor. Venezuela.</w:t></w:r></w:p><w:p><w:pPr><w:pStyle w:val="style0"/><w:jc w:val="both"/></w:pPr><w:r><w:rPr><w:rStyle w:val="style22"/><w:rFonts w:ascii="Times New Roman" w:hAnsi="Times New Roman"/><w:color w:val="00000A"/><w:sz w:val="24"/><w:szCs w:val="24"/><w:u w:val="none"/></w:rPr><w:t>PAGINAS WEB CONSULTADAS:</w:t></w:r></w:p><w:p><w:pPr><w:pStyle w:val="style40"/><w:ind w:hanging="0" w:left="567" w:right="0"/><w:jc w:val="both"/></w:pPr><w:r><w:rPr><w:rFonts w:ascii="Times New Roman" w:hAnsi="Times New Roman"/><w:sz w:val="24"/><w:szCs w:val="24"/></w:rPr><w:t>http://www.knoow.net/es/cieeconcom/gestion/gestionfinanciera.htm#plus</w:t></w:r></w:p><w:p><w:pPr><w:pStyle w:val="style40"/><w:ind w:hanging="0" w:left="567" w:right="0"/><w:jc w:val="both"/></w:pPr><w:r><w:rPr><w:rFonts w:ascii="Times New Roman" w:hAnsi="Times New Roman"/><w:sz w:val="24"/><w:szCs w:val="24"/></w:rPr></w:r></w:p><w:p><w:pPr><w:pStyle w:val="style40"/><w:ind w:hanging="0" w:left="567" w:right="0"/><w:jc w:val="both"/></w:pPr><w:r><w:rPr><w:rFonts w:ascii="Times New Roman" w:hAnsi="Times New Roman"/><w:sz w:val="24"/><w:szCs w:val="24"/></w:rPr></w:r></w:p><w:p><w:pPr><w:pStyle w:val="style40"/><w:ind w:hanging="0" w:left="567" w:right="0"/><w:jc w:val="both"/></w:pPr><w:r><w:rPr><w:rFonts w:ascii="Times New Roman" w:hAnsi="Times New Roman"/><w:sz w:val="24"/><w:szCs w:val="24"/></w:rPr><w:t>http://www.definicion.org/indicadores-financieros</w:t></w:r></w:p><w:p><w:pPr><w:pStyle w:val="style40"/><w:ind w:hanging="0" w:left="567" w:right="0"/><w:jc w:val="both"/></w:pPr><w:r><w:rPr><w:rFonts w:ascii="Times New Roman" w:hAnsi="Times New Roman"/><w:sz w:val="24"/><w:szCs w:val="24"/></w:rPr></w:r></w:p><w:p><w:pPr><w:pStyle w:val="style40"/><w:ind w:hanging="0" w:left="567" w:right="0"/><w:jc w:val="both"/></w:pPr><w:r><w:rPr><w:rFonts w:ascii="Times New Roman" w:hAnsi="Times New Roman"/><w:sz w:val="24"/><w:szCs w:val="24"/></w:rPr></w:r></w:p><w:p><w:pPr><w:pStyle w:val="style40"/><w:ind w:hanging="0" w:left="567" w:right="0"/><w:jc w:val="both"/></w:pPr><w:r><w:rPr><w:rFonts w:ascii="Times New Roman" w:hAnsi="Times New Roman"/><w:sz w:val="24"/><w:szCs w:val="24"/></w:rPr><w:t>http://www.bolsayeconomia.es/vision-y-mision-dos conceptosfundamentales.html</w:t></w:r></w:p><w:p><w:pPr><w:pStyle w:val="style40"/><w:jc w:val="both"/></w:pPr><w:r><w:rPr><w:rFonts w:ascii="Times New Roman" w:hAnsi="Times New Roman"/><w:sz w:val="24"/><w:szCs w:val="24"/></w:rPr></w:r></w:p><w:p><w:pPr><w:pStyle w:val="style0"/><w:spacing w:line="100" w:lineRule="atLeast"/><w:jc w:val="both"/></w:pPr><w:r><w:rPr><w:rFonts w:ascii="Times New Roman" w:hAnsi="Times New Roman"/><w:sz w:val="24"/><w:szCs w:val="24"/></w:rPr></w:r></w:p><w:p><w:pPr><w:pStyle w:val="style0"/><w:spacing w:line="100" w:lineRule="atLeast"/><w:ind w:hanging="0" w:left="567" w:right="0"/><w:jc w:val="both"/></w:pPr><w:r><w:rPr><w:rFonts w:ascii="Times New Roman" w:hAnsi="Times New Roman"/><w:sz w:val="24"/><w:szCs w:val="24"/></w:rPr><w:t>http://www.bolsayeconomia.es/vision-y-mision-dos-conceptos-fundamentales.htm</w:t></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both"/></w:pPr><w:r><w:rPr></w:rPr></w:r></w:p><w:p><w:pPr><w:pStyle w:val="style0"/><w:jc w:val="center"/></w:pPr><w:r><w:rPr><w:rStyle w:val="style22"/><w:rFonts w:ascii="Times New Roman" w:hAnsi="Times New Roman"/><w:color w:val="00000A"/><w:sz w:val="24"/><w:szCs w:val="24"/><w:u w:val="none"/></w:rPr><w:t>ANEXOS</w:t></w:r></w:p><w:p><w:pPr><w:pStyle w:val="style0"/><w:jc w:val="center"/></w:pPr><w:r><w:rPr></w:rPr></w:r></w:p><w:tbl><w:tblPr><w:jc w:val="left"/><w:tblInd w:type="dxa" w:w="-108"/><w:tblBorders></w:tblBorders></w:tblPr><w:tblGrid><w:gridCol w:w="1263"/><w:gridCol w:w="1475"/><w:gridCol w:w="1476"/><w:gridCol w:w="1477"/></w:tblGrid><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b/><w:bCs/><w:color w:val="000000"/><w:sz w:val="24"/><w:szCs w:val="24"/><w:lang w:eastAsia="es-VE" w:val="es-VE"/></w:rPr><w:t>AÑO 2008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AC</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PC</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CT</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3.080.044,90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1.191.896,73</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1.888.148,17</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3.656.163,35</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1.310.410,30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2.345.753,05</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3.989.849,06</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1.408.620,91</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2.581.228,15</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4.505.604,98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1.559.982,94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2.945.622,04</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4.819.788,16</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1.731.551,15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3.088.237,01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4.941.368,17</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1.990.311,89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2.951.056,28</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5.163.859,73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2.189.627,70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2.974.232,03</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5.471.781,93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2.433.460,26</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3.038.321,67</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6.002.905,01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2.750.318,20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3.252.586,81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3.966.376,92</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1.445.270,35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2.521.106,57</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3.428.196,60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971.251,92</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2.456.944,68</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3.460.009,57</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922.668,83</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2.537.340,74</w:t></w:r></w:p></w:tc></w:tr></w:tbl><w:p><w:pPr><w:pStyle w:val="style0"/><w:spacing w:after="160" w:before="0" w:line="256" w:lineRule="auto"/><w:jc w:val="center"/></w:pPr><w:r><w:rPr><w:rFonts w:ascii="Times New Roman" w:hAnsi="Times New Roman"/><w:sz w:val="24"/><w:szCs w:val="24"/><w:lang w:val="es-VE"/></w:rPr><w:t>ANEXO N°1 Capital de Trabajo 2008</w:t></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t>Fuente: Extraído del Balance General al 31-12-2008 del Frigorífico Industrial Carabobo</w:t></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t>ANEXO N°2 Capital de Trabajo 2009</w:t></w:r></w:p><w:tbl><w:tblPr><w:jc w:val="center"/><w:tblBorders></w:tblBorders></w:tblPr><w:tblGrid><w:gridCol w:w="1263"/><w:gridCol w:w="1475"/><w:gridCol w:w="1476"/><w:gridCol w:w="1477"/></w:tblGrid><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AC</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CT</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Ene-09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3.593.575,82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938.626,78</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2.654.949,04</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Feb-09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3.282.299,17</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501.150,57</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2.781.148,60</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Mar-09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3.557.665,77</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575.278,50</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2.982.387,27</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Abr-09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3.610.766,20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634.198,78</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2.976.567,42</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May-09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3.767.803,60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691.835,50</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3.075.968,10</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Jun-09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4.006.875,32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778.731,86</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3.228.143,46</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Jul-09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4.083.680,88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756.622,39</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3.327.058,49</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Ago-09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3.968.146,11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890.087,86</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3.078.058,25</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Sept-09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2.780.771,18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1.068.733,81</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1.712.037,37</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Oct-09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3.850.053,18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1.068.733,81</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2.781.319,37</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Nov-09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2.987.680,84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532.316,09</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2.455.364,75</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bCs/><w:color w:val="000000"/><w:sz w:val="24"/><w:szCs w:val="24"/><w:lang w:eastAsia="es-VE" w:val="es-VE"/></w:rPr><w:t>Dic-09</w:t></w:r></w:p></w:tc><w:tc><w:tcPr><w:tcW w:type="dxa" w:w="14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3.146.327,12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695.635,14</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2.450.691,98</w:t></w:r></w:p></w:tc></w:tr></w:tbl><w:p><w:pPr><w:pStyle w:val="style0"/><w:spacing w:after="160" w:before="0" w:line="256" w:lineRule="auto"/><w:jc w:val="center"/></w:pPr><w:r><w:rPr><w:rFonts w:ascii="Times New Roman" w:hAnsi="Times New Roman"/><w:sz w:val="24"/><w:szCs w:val="24"/><w:lang w:val="es-VE"/></w:rPr><w:t>Fuente: Extraído del Balance General al 31-12-2009 del Frigorífico Industrial Carabobo</w:t></w:r></w:p><w:p><w:pPr><w:pStyle w:val="style0"/><w:spacing w:after="0" w:before="0" w:line="100" w:lineRule="atLeast"/></w:pPr><w:r><w:rPr><w:rFonts w:ascii="Times New Roman" w:eastAsia="Times New Roman" w:hAnsi="Times New Roman"/><w:bCs/><w:i/><w:iCs/><w:color w:val="000000"/><w:sz w:val="24"/><w:szCs w:val="24"/><w:lang w:eastAsia="es-VE" w:val="es-VE"/></w:rPr></w:r></w:p><w:p><w:pPr><w:pStyle w:val="style0"/><w:spacing w:after="160" w:before="0" w:line="256" w:lineRule="auto"/><w:jc w:val="center"/></w:pPr><w:r><w:rPr><w:rFonts w:ascii="Times New Roman" w:hAnsi="Times New Roman"/><w:sz w:val="24"/><w:szCs w:val="24"/><w:lang w:val="es-VE"/></w:rPr><w:t>ANEXO N°3 Capital de Trabajo 2010</w:t></w:r></w:p><w:tbl><w:tblPr><w:jc w:val="center"/><w:tblBorders></w:tblBorders></w:tblPr><w:tblGrid><w:gridCol w:w="1262"/><w:gridCol w:w="1476"/><w:gridCol w:w="1476"/><w:gridCol w:w="155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AC</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CT</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Ene-10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2.949.387,52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1.132.514,68</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1.816.872,84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Feb-10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3.377.468,85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1.638.131,36</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1.739.337,49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Mar-10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3.580.251,85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1.800.804,94</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1.779.446,91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Abr-10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3.559.546,72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1.800.804,94</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1.758.741,78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May-10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3.862.747,96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2.245.618,11</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1.617.129,85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Jun-10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4.476.918,69</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3.560.426,54</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916.492,15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Jul-10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5.010.237,94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3.844.863,03</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1.165.374,91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Ago-10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5.099.484,14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4.439.805,91</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659.678,23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Sept-10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5.167.574,02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4.425.615,48</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741.958,54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Oct-10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4.101.846,09</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4.544.296,31</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-442.450,22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Nov-10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3.507.393,83</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4.096.263,94</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-588.870,11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Dic-10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2.891.987,77</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4.354.433,34</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-1.462.445,57</w:t></w:r></w:p></w:tc></w:tr></w:tbl><w:p><w:pPr><w:pStyle w:val="style0"/><w:spacing w:after="160" w:before="0" w:line="256" w:lineRule="auto"/><w:jc w:val="center"/></w:pPr><w:r><w:rPr><w:rFonts w:ascii="Times New Roman" w:hAnsi="Times New Roman"/><w:sz w:val="24"/><w:szCs w:val="24"/><w:lang w:val="es-VE"/></w:rPr><w:t>Fuente: Extraído del Balance General al 31-12-2010 del Frigorífico Industrial Carabobo</w:t></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t>ANEXO N°4 Capital de Trabajo 2011</w:t></w:r></w:p><w:tbl><w:tblPr><w:jc w:val="center"/><w:tblBorders></w:tblBorders></w:tblPr><w:tblGrid><w:gridCol w:w="1262"/><w:gridCol w:w="1476"/><w:gridCol w:w="1476"/><w:gridCol w:w="155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AC</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CT</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Ene-11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3.920.546,14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5.489.933,78</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-1.569.387,64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Feb-11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4.330.065,50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5.728.109,01</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-1.398.043,51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Mar-11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4.883.848,80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5.601.848,79</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-717.999,99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Abr-11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4.530.602,13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5.698.435,50</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-1.167.833,37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May-11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4.911.811,17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6.069.685,06</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-1.157.873,89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Jun-11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5.422.953,95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6.716.414,08</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-1.293.460,13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Jul-11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5.744.487,38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7.274.542,47</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-1.530.055,09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Ago-11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5.769.503,22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6.756.940,68</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-987.437,46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Sept-11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6.107.668,02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6.833.178,98</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-725.510,96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Oct-11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7.442.102,75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7.796.390,54</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-354.287,79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Nov-11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7.708.376,18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8.204.558,72</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-496.182,54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Dic-11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7.334.724,50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7.748.531,54</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-413.807,04</w:t></w:r></w:p></w:tc></w:tr></w:tbl><w:p><w:pPr><w:pStyle w:val="style0"/><w:spacing w:after="160" w:before="0" w:line="256" w:lineRule="auto"/><w:jc w:val="center"/></w:pPr><w:r><w:rPr><w:rFonts w:ascii="Times New Roman" w:eastAsia="Times New Roman" w:hAnsi="Times New Roman"/><w:bCs/><w:i/><w:iCs/><w:color w:val="000000"/><w:sz w:val="24"/><w:szCs w:val="24"/><w:lang w:eastAsia="es-VE" w:val="es-VE"/></w:rPr><w:tab/></w:r><w:r><w:rPr><w:rFonts w:ascii="Times New Roman" w:hAnsi="Times New Roman"/><w:sz w:val="24"/><w:szCs w:val="24"/><w:lang w:val="es-VE"/></w:rPr><w:t>Fuente: Extraído del Balance General al 31-12-2011 del Frigorífico Industrial Carabobo</w:t></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r></w:p><w:p><w:pPr><w:pStyle w:val="style0"/><w:spacing w:after="160" w:before="0" w:line="256" w:lineRule="auto"/><w:jc w:val="center"/></w:pPr><w:r><w:rPr><w:rFonts w:ascii="Times New Roman" w:hAnsi="Times New Roman"/><w:sz w:val="24"/><w:szCs w:val="24"/><w:lang w:val="es-VE"/></w:rPr><w:t>ANEXO N°5 Capital de Trabajo 2012</w:t></w:r></w:p><w:tbl><w:tblPr><w:jc w:val="center"/><w:tblBorders></w:tblBorders></w:tblPr><w:tblGrid><w:gridCol w:w="1262"/><w:gridCol w:w="1596"/><w:gridCol w:w="1595"/><w:gridCol w:w="137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2012</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AC</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13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CT</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Ene-12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7.982.308,25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8.193.862,22</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-211.553,97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Feb-12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9.039.227,74</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9.108.055,87</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-68.828,13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Mar-12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9.404.159,95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9.357.761,06</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46.398,89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Abr-12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9.451.838,09</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9.360.324,54</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91.513,55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May-12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10.300.474,71</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10.143.308,78</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157.165,93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Jun-12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10.678.329,89</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10.646.076,18</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32.253,71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Jul-12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11.987.570,71</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11.664.639,87</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322.930,84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Ago-12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12.423.574,16</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12.629.903,20</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-206.329,04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Sept-12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13.211.169,02</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13.422.260,40</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-211.091,38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Oct-12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14.516.070,95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15.006.274,39</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-490.203,44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Nov-12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8.871.404,39</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9.198.424,11</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-327.019,72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Dic-12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8.768.547,51</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9.762.537,61</w:t></w:r></w:p></w:tc><w:tc><w:tcPr><w:tcW w:type="dxa" w:w="13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-993.990,10</w:t></w:r></w:p></w:tc></w:tr></w:tbl><w:p><w:pPr><w:pStyle w:val="style0"/><w:spacing w:after="160" w:before="0" w:line="256" w:lineRule="auto"/><w:jc w:val="center"/></w:pPr><w:r><w:rPr><w:rFonts w:ascii="Times New Roman" w:hAnsi="Times New Roman"/><w:sz w:val="24"/><w:szCs w:val="24"/><w:lang w:val="es-VE"/></w:rPr><w:t>Fuente: Extraído del Balance General al 31-12-2012 del Frigorífico Industrial Carabobo</w:t></w:r></w:p><w:p><w:pPr><w:pStyle w:val="style0"/><w:spacing w:after="160" w:before="0" w:line="256" w:lineRule="auto"/><w:jc w:val="center"/></w:pPr><w:r><w:rPr><w:rFonts w:ascii="Times New Roman" w:eastAsia="Times New Roman" w:hAnsi="Times New Roman"/><w:sz w:val="24"/><w:szCs w:val="24"/><w:lang w:eastAsia="es-VE" w:val="es-VE"/></w:rPr></w:r></w:p><w:p><w:pPr><w:pStyle w:val="style0"/><w:spacing w:after="160" w:before="0" w:line="256" w:lineRule="auto"/><w:jc w:val="center"/></w:pPr><w:r><w:rPr><w:rFonts w:ascii="Times New Roman" w:eastAsia="Times New Roman" w:hAnsi="Times New Roman"/><w:sz w:val="24"/><w:szCs w:val="24"/><w:lang w:eastAsia="es-VE" w:val="es-VE"/></w:rPr><w:tab/></w:r><w:r><w:rPr><w:rFonts w:ascii="Times New Roman" w:hAnsi="Times New Roman"/><w:sz w:val="24"/><w:szCs w:val="24"/><w:lang w:val="es-VE"/></w:rPr><w:t>ANEXO N°6 Capital de Trabajo 2013</w:t></w:r></w:p><w:tbl><w:tblPr><w:jc w:val="center"/><w:tblBorders></w:tblBorders></w:tblPr><w:tblGrid><w:gridCol w:w="1262"/><w:gridCol w:w="1476"/><w:gridCol w:w="1596"/><w:gridCol w:w="155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2013</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AC</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CT</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Ene-13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9.868.793,81</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10.591.261,87</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-722.468,06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Feb-13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9.831.251,76</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11.187.386,34</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-1.356.134,58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Mar-13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9.525.549,65</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11.875.733,98</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-2.350.184,33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Abr-13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9.777.445,17</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11.880.813,25</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-2.103.368,08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May-13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9.146.146,94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11.122.568,56</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-1.976.421,62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Jun-13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8.973.906,70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11.259.509,62</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-2.285.602,92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Jul-13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8.804.910,09</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11.398.136,71</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-2.593.226,62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Ago-13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8.639.096,02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11.538.470,57</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-2.899.374,54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Sept-13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8.476.404,57</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11.680.532,22</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-3.204.127,65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Oct-13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8.316.776,92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11.824.342,93</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-3.507.566,01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Nov-13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8.160.155,37</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11.969.924,24</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-3.809.768,87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Dic-13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8.006.483,33</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12.117.297,95</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-4.110.814,62</w:t></w:r></w:p></w:tc></w:tr></w:tbl><w:p><w:pPr><w:pStyle w:val="style0"/><w:tabs><w:tab w:leader="none" w:pos="5160" w:val="left"/></w:tabs><w:spacing w:after="160" w:before="0" w:line="256" w:lineRule="auto"/></w:pPr><w:r><w:rPr><w:rFonts w:ascii="Times New Roman" w:hAnsi="Times New Roman"/><w:sz w:val="24"/><w:szCs w:val="24"/><w:lang w:val="es-VE"/></w:rPr><w:t>Fuente: Extraído del Balance General al 31-12-2013 del Frigorífico Industrial Carabobo</w:t></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N°7 Capital de Trabajo 2014</w:t></w:r></w:p><w:tbl><w:tblPr><w:jc w:val="center"/><w:tblBorders></w:tblBorders></w:tblPr><w:tblGrid><w:gridCol w:w="1262"/><w:gridCol w:w="1476"/><w:gridCol w:w="1596"/><w:gridCol w:w="155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AC</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15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CT</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Ene-14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7.855.705,23</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12.266.486,12</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-4.410.780,88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Feb-14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7.707.766,59</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12.417.511,09</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-4.709.744,50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Mar-14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7.562.613,93</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12.570.395,49</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-5.007.781,56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Abr-14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7.420.194,79</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12.725.162,20</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-5.304.967,41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May-14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7.280.457,68</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12.881.834,40</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-5.601.376,72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Jun-14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7.143.352,10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13.040.435,54</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-5.897.083,44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Jul-14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7.008.828,49</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13.200.989,39</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-6.192.160,89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Ago-14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6.876.838,23</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13.363.519,97</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-6.486.681,73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Sept-14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6.747.333,62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13.528.051,62</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-6.780.718,01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Oct-14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6.620.267,83</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13.694.609,00</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-7.074.341,17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Nov-14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6.495.594,95</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13.863.217,02</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-7.367.622,08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Dic-14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6.373.269,90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14.033.900,95</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-7.660.631,05</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del Frigorífico Industrial Carabobo</w:t></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N°8 Razón Circulante 2008</w:t></w:r></w:p><w:p><w:pPr><w:pStyle w:val="style0"/><w:tabs><w:tab w:leader="none" w:pos="5160" w:val="left"/></w:tabs><w:spacing w:after="160" w:before="0" w:line="256" w:lineRule="auto"/></w:pPr><w:r><w:rPr><w:rFonts w:ascii="Times New Roman" w:hAnsi="Times New Roman"/><w:sz w:val="24"/><w:szCs w:val="24"/><w:lang w:val="es-VE"/></w:rPr></w:r></w:p><w:tbl><w:tblPr><w:jc w:val="center"/><w:tblBorders></w:tblBorders></w:tblPr><w:tblGrid><w:gridCol w:w="1262"/><w:gridCol w:w="1476"/><w:gridCol w:w="1476"/><w:gridCol w:w="63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AC</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63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RC</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Ene-08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sz w:val="24"/><w:szCs w:val="24"/><w:lang w:eastAsia="es-VE" w:val="es-VE"/></w:rPr><w:t>3.080.044,90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sz w:val="24"/><w:szCs w:val="24"/><w:lang w:eastAsia="es-VE" w:val="es-VE"/></w:rPr><w:t>1.191.896,73</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2,58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Feb-08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sz w:val="24"/><w:szCs w:val="24"/><w:lang w:eastAsia="es-VE" w:val="es-VE"/></w:rPr><w:t>3.656.163,35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sz w:val="24"/><w:szCs w:val="24"/><w:lang w:eastAsia="es-VE" w:val="es-VE"/></w:rPr><w:t>1.310.410,30</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2,79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Mar-08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sz w:val="24"/><w:szCs w:val="24"/><w:lang w:eastAsia="es-VE" w:val="es-VE"/></w:rPr><w:t>3.989.849,06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sz w:val="24"/><w:szCs w:val="24"/><w:lang w:eastAsia="es-VE" w:val="es-VE"/></w:rPr><w:t>1.408.620,91</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2,83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Abr-08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4.505.604,98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1.559.982,94</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2,89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May-08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4.819.788,16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1.731.551,15</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2,78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Jun-08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sz w:val="24"/><w:szCs w:val="24"/><w:lang w:eastAsia="es-VE" w:val="es-VE"/></w:rPr><w:t>4.941.368,17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1.990.311,89</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2,48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Jul-08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5.163.859,73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2.189.627,70</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2,36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Ago-08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5.471.781,93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2.433.460,26</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2,25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Sept-08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5.862.528,04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2.750.318,20</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2,13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Oct-08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3.966.376,92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1.445.270,35</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2,74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Nov-08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3.428.196,60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971.251,92</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3,53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Dic-08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3.460.009,57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922.668,83</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3,75</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31-12-2008 del Frigorífico Industrial Carabobo</w:t></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N°9 Razón Circulante 2009</w:t></w:r></w:p><w:tbl><w:tblPr><w:jc w:val="center"/><w:tblBorders></w:tblBorders></w:tblPr><w:tblGrid><w:gridCol w:w="1262"/><w:gridCol w:w="1476"/><w:gridCol w:w="1476"/><w:gridCol w:w="63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2009</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AC</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63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RC</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Ene-09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3.593.575,82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938.626,78</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3,83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Feb-09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3.282.299,17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501.150,57</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6,55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Mar-09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3.557.665,77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575.278,50</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6,18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Abr-09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3.610.766,20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634.198,78</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5,69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May-09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3.767.803,60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691.835,50</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5,45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Jun-09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4.006.875,32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778.731,86</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5,15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Jul-09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4.083.680,88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756.622,39</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5,40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Ago-09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3.968.146,11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890.087,86</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4,46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Sept-09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2.780.771,18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1.068.733,81</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2,60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Oct-09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3.850.053,18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1.068.733,81</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3,60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Nov-09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2.987.680,84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532.316,09</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5,61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Dic-09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3.146.327,12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695.635,14</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4,52</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31-12-2009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N°10 Razón Circulante 2010</w:t></w:r></w:p><w:tbl><w:tblPr><w:jc w:val="center"/><w:tblBorders></w:tblBorders></w:tblPr><w:tblGrid><w:gridCol w:w="1262"/><w:gridCol w:w="1476"/><w:gridCol w:w="1476"/><w:gridCol w:w="63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AC</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63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RC</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Ene-10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2.949.387,52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1.132.514,68</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2,60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Feb-10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3.377.468,85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1.638.131,36</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2,06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Mar-10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3.580.251,85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1.800.804,94</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1,99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Abr-10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3.559.546,72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1.800.804,94</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1,98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May-10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3.862.747,96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2.245.618,11</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1,72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Jun-10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4.476.918,69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3.560.426,54</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Jul-10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5.010.237,94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3.844.863,03</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Ago-10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5.099.484,14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4.439.805,91</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Sept-10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5.167.574,02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4.425.615,48</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Oct-10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4.101.846,09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4.544.296,31</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0,90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Nov-10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3.507.393,83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4.096.263,94</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0,86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pPr><w:r><w:rPr><w:rFonts w:ascii="Times New Roman" w:hAnsi="Times New Roman"/><w:color w:val="000000"/><w:sz w:val="24"/><w:szCs w:val="24"/><w:lang w:eastAsia="es-VE" w:val="es-VE"/></w:rPr><w:t>Dic-10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2.891.987,77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4.354.433,34</w:t></w:r></w:p></w:tc><w:tc><w:tcPr><w:tcW w:type="dxa" w:w="6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0,66</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31-12-2010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N°11 Razón Circulante 2011</w:t></w:r></w:p><w:tbl><w:tblPr><w:jc w:val="center"/><w:tblBorders></w:tblBorders></w:tblPr><w:tblGrid><w:gridCol w:w="1262"/><w:gridCol w:w="1476"/><w:gridCol w:w="1476"/><w:gridCol w:w="135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AC</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13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RC</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Ene-11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3.920.546,14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5.489.933,78</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0,71413359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Feb-11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4.330.065,50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5.728.109,01</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0,7559328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Mar-11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4.883.848,80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5.601.848,79</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0,87182803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Abr-11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4.530.602,13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5.698.435,50</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0,7950607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May-11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4.911.811,17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6.069.685,06</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0,80923658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Jun-11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5.422.953,95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6.716.414,08</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0,80741805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Jul-11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5.744.487,38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7.274.542,47</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0,78966992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Ago-11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5.769.503,22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6.756.940,68</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0,85386323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Sept-11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6.107.668,02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6.833.178,98</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0,89382527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Oct-11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7.442.102,75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7.796.390,54</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0,95455746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Nov-11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7.708.376,18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8.204.558,72</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0,93952356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Dic-11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7.334.724,5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7.748.531,54</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bCs/><w:color w:val="000000"/><w:sz w:val="24"/><w:szCs w:val="24"/><w:lang w:eastAsia="es-VE" w:val="es-VE"/></w:rPr><w:t>0,94659542</w:t></w:r></w:p></w:tc></w:tr></w:tbl><w:p><w:pPr><w:pStyle w:val="style0"/><w:tabs><w:tab w:leader="none" w:pos="5160" w:val="left"/></w:tabs><w:spacing w:after="160" w:before="0" w:line="256" w:lineRule="auto"/><w:jc w:val="center"/></w:pPr><w:r><w:rPr><w:rFonts w:ascii="Times New Roman" w:hAnsi="Times New Roman"/><w:sz w:val="24"/><w:szCs w:val="24"/><w:lang w:val="es-VE"/></w:rPr><w:t xml:space="preserve">Fuente: Extraído del Balance General al 31-12-2011 del Frigorífico Industrial Carabobo </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N°12 Razón Circulante 2012</w:t></w:r></w:p><w:tbl><w:tblPr><w:jc w:val="center"/><w:tblBorders></w:tblBorders></w:tblPr><w:tblGrid><w:gridCol w:w="1262"/><w:gridCol w:w="1596"/><w:gridCol w:w="1596"/><w:gridCol w:w="1356"/></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eastAsia="es-VE" w:val="es-VE"/></w:rPr><w:t>AÑO 2012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eastAsia="es-VE" w:val="es-VE"/></w:rPr><w:t>AC</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eastAsia="es-VE" w:val="es-VE"/></w:rPr><w:t>PC</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eastAsia="es-VE" w:val="es-VE"/></w:rPr><w:t>RC</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Ene-12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7.982.308,25</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8.193.862,22</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0,97418141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Feb-12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9.039.227,74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9.108.055,87</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0,99244316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Mar-12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9.404.159,95</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9.357.761,06</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1,00495833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Abr-12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9.451.838,09</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9.360.324,54</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1,00977675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May-12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10.300.474,71</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10.143.308,78</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1,01549454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Jun-12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10.678.329,89</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10.646.076,18</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1,00302963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Jul-12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11.987.570,71</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11.664.639,87</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1,0276846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Ago-12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12.423.574,16</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12.629.903,20</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0,98366345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Sept-12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13.211.169,02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13.422.260,40</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0,98427304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Oct-12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14.516.070,95</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15.006.274,39</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0,96733343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Nov-12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8.871.404,39</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9.198.424,11</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0,96444829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eastAsia="es-VE" w:val="es-VE"/></w:rPr><w:t>Dic-12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8.768.547,51</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9.762.537,61</w:t></w:r></w:p></w:tc><w:tc><w:tcPr><w:tcW w:type="dxa" w:w="13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eastAsia="Times New Roman" w:hAnsi="Times New Roman"/><w:color w:val="000000"/><w:sz w:val="24"/><w:szCs w:val="24"/><w:lang w:eastAsia="es-VE" w:val="es-VE"/></w:rPr><w:t>0,89818322</w:t></w:r></w:p></w:tc></w:tr></w:tbl><w:p><w:pPr><w:pStyle w:val="style0"/><w:tabs><w:tab w:leader="none" w:pos="5160" w:val="left"/></w:tabs><w:spacing w:after="160" w:before="0" w:line="256" w:lineRule="auto"/><w:jc w:val="center"/></w:pPr><w:r><w:rPr><w:rFonts w:ascii="Times New Roman" w:hAnsi="Times New Roman"/><w:sz w:val="24"/><w:szCs w:val="24"/><w:lang w:val="es-VE"/></w:rPr><w:t>Fuente: Fuente: Extraído del Balance General al 31-12-2012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N°13 Razón Circulante 2013</w:t></w:r></w:p><w:tbl><w:tblPr><w:jc w:val="center"/><w:tblBorders></w:tblBorders></w:tblPr><w:tblGrid><w:gridCol w:w="1262"/><w:gridCol w:w="1476"/><w:gridCol w:w="1596"/><w:gridCol w:w="1356"/></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AC</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PC</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RC</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9.868.793,81</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10.591.261,87</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0,9317864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9.831.251,76</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11.187.386,34</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0,87878004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9.525.549,65</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11.875.733,98</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0,80210197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9.777.445,17</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11.880.813,25</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0,82296093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9.146.146,94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11.122.568,56</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0,82230529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8.973.906,70</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11.259.509,62</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0,79700689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8.804.910,09</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11.398.136,71</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0,77248679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8.639.096,02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11.538.470,57</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0,74872107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8.476.404,57</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11.680.532,22</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0,7256865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8.316.776,92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11.824.342,93</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0,7033606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8.160.155,37</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11.969.924,24</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0,68172156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8.006.483,33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12.117.297,95</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0,66074824</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31-12-2013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N°14 Razón Circulante 2014</w:t></w:r></w:p><w:tbl><w:tblPr><w:jc w:val="center"/><w:tblBorders></w:tblBorders></w:tblPr><w:tblGrid><w:gridCol w:w="1262"/><w:gridCol w:w="1476"/><w:gridCol w:w="1596"/><w:gridCol w:w="1356"/></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AC</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PC</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RC</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7.855.705,23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12.266.486,12</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0,64042018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7.707.766,59</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12.417.511,09</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0,62071751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7.562.613,93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12.570.395,49</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0,601621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7.420.194,79</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12.725.162,20</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0,583112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7.280.457,68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12.881.834,40</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0,56517243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7.143.352,10</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13.040.435,54</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0,54778478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7.008.828,49</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13.200.989,39</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0,53093206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6.876.838,23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13.363.519,97</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0,51459782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6.747.333,62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13.528.051,62</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0,4987661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6.620.267,83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13.694.609,00</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0,48342146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6.495.594,95</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13.863.217,02</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0,46854889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6.373.269,90</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14.033.900,95</w:t></w:r></w:p></w:tc><w:tc><w:tcPr><w:tcW w:type="dxa" w:w="13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0,45413388</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N°15 Prueba Súper Ácida 2008</w:t></w:r></w:p><w:tbl><w:tblPr><w:jc w:val="center"/><w:tblBorders></w:tblBorders></w:tblPr><w:tblGrid><w:gridCol w:w="1254"/><w:gridCol w:w="2017"/><w:gridCol w:w="2539"/><w:gridCol w:w="1805"/><w:gridCol w:w="749"/></w:tblGrid><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EFECTIVO Y EQ</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CUENTAS POR COBRAR</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PSA</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Ene-08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908.097,76</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2.095.508,42</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1.191.896,73</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2,52</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Feb-08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1.532.449,19</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2.059.530,14</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1.310.410,30</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2,74</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Mar-08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1.602.569,49</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2.329.128,96</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1.408.620,91</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2,79</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Abr-08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1.868.066,21</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2.452.348,60</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1.559.982,94</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2,77</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May-08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1.575.638,95</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2.680.532,64</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1.731.551,15</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2,46</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Jun-08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1.672.655,43</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2.667.621,62</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1.990.311,89</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2,18</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Jul-08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1.770.120,61</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2.745.968,82</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2.189.627,70</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2,06</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Ago-08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1.584.482,03</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3.241.304,11</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2.433.460,26</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1,98</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Sept-08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1.945.861,72</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3.221.207,86</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2.750.318,20</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1,88</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Oct-08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2.344.119,85</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1.565.984,99</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1.445.270,35</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2,71</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Nov-08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1.764.997,02</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1.559.455,29</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971.251,92</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3,42</w:t></w:r></w:p></w:tc></w:tr><w:tr><w:trPr><w:trHeight w:hRule="atLeast" w:val="2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Cs/><w:color w:val="000000"/><w:sz w:val="24"/><w:szCs w:val="24"/><w:lang w:eastAsia="es-VE" w:val="es-VE"/></w:rPr><w:t>Dic-08</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1.683.037,71</w:t></w:r></w:p></w:tc><w:tc><w:tcPr><w:tcW w:type="dxa" w:w="253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1.640.046,26</w:t></w:r></w:p></w:tc><w:tc><w:tcPr><w:tcW w:type="dxa" w:w="180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922.668,83</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bCs/><w:color w:val="000000"/><w:sz w:val="24"/><w:szCs w:val="24"/><w:lang w:eastAsia="es-VE" w:val="es-VE"/></w:rPr><w:t>3,60</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31-12-2008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N°16 Prueba Súper Ácida 2009</w:t></w:r></w:p><w:tbl><w:tblPr><w:jc w:val="center"/><w:tblBorders></w:tblBorders></w:tblPr><w:tblGrid><w:gridCol w:w="1559"/><w:gridCol w:w="1983"/><w:gridCol w:w="2835"/><w:gridCol w:w="1843"/><w:gridCol w:w="711"/></w:tblGrid><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EFECTIVO Y EQ</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CUENTAS POR COBRAR</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PSA</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Ene-09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2.159.798,77</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1.286.838,88</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938.626,78</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3,67</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Feb-09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1.775.335,00</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1.313.691,46</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501.150,57</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6,16</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Mar-09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1.899.141,72</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1.472.754,50</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575.278,50</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5,86</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Abr-09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1.765.453,51</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1.534.931,16</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634.198,78</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5,20</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May-09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1.801.347,26</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1.574.795,63</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691.835,50</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4,88</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Jun-09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1.766.802,28</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1.731.703,68</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778.731,86</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4,49</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Jul-09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1.713.221,12</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1.831.479,71</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756.622,39</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4,68</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Ago-09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1.680.200,18</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1.603.690,28</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890.087,86</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3,69</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Sept-09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1.245.885,26</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668.953,14</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1.068.733,81</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1,79</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Oct-09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 xml:space="preserve">   </w:t></w:r><w:r><w:rPr><w:rFonts w:ascii="Times New Roman" w:eastAsia="Times New Roman" w:hAnsi="Times New Roman"/><w:color w:val="000000"/><w:sz w:val="24"/><w:szCs w:val="24"/><w:lang w:eastAsia="es-VE" w:val="es-VE"/></w:rPr><w:t>592.136,80</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2.391.983,60</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1.068.733,81</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2,79</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Nov-09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 xml:space="preserve">     </w:t></w:r><w:r><w:rPr><w:rFonts w:ascii="Times New Roman" w:eastAsia="Times New Roman" w:hAnsi="Times New Roman"/><w:color w:val="000000"/><w:sz w:val="24"/><w:szCs w:val="24"/><w:lang w:eastAsia="es-VE" w:val="es-VE"/></w:rPr><w:t>31.355,83</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2.208.884,70</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532.316,09</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4,21</w:t></w:r></w:p></w:tc></w:tr><w:tr><w:trPr><w:trHeight w:hRule="atLeast" w:val="300"/><w:cantSplit w:val="false"/></w:trPr><w:tc><w:tcPr><w:tcW w:type="dxa" w:w="15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Dic-09</w:t></w:r></w:p></w:tc><w:tc><w:tcPr><w:tcW w:type="dxa" w:w="198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 xml:space="preserve">    </w:t></w:r><w:r><w:rPr><w:rFonts w:ascii="Times New Roman" w:eastAsia="Times New Roman" w:hAnsi="Times New Roman"/><w:color w:val="000000"/><w:sz w:val="24"/><w:szCs w:val="24"/><w:lang w:eastAsia="es-VE" w:val="es-VE"/></w:rPr><w:t>-10.203,76</w:t></w:r></w:p></w:tc><w:tc><w:tcPr><w:tcW w:type="dxa" w:w="28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2.426.054,25</w:t></w:r></w:p></w:tc><w:tc><w:tcPr><w:tcW w:type="dxa" w:w="18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695.635,14</w:t></w:r></w:p></w:tc><w:tc><w:tcPr><w:tcW w:type="dxa" w:w="71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3,47</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31-12-2009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N°17 Prueba Súper Ácida 2010</w:t></w:r></w:p><w:p><w:pPr><w:pStyle w:val="style0"/><w:tabs><w:tab w:leader="none" w:pos="5160" w:val="left"/></w:tabs><w:spacing w:after="160" w:before="0" w:line="256" w:lineRule="auto"/><w:jc w:val="center"/></w:pPr><w:r><w:rPr><w:rFonts w:ascii="Times New Roman" w:hAnsi="Times New Roman"/><w:sz w:val="24"/><w:szCs w:val="24"/><w:lang w:val="es-VE"/></w:rPr></w:r></w:p><w:tbl><w:tblPr><w:jc w:val="center"/><w:tblBorders></w:tblBorders></w:tblPr><w:tblGrid><w:gridCol w:w="1254"/><w:gridCol w:w="2017"/><w:gridCol w:w="2681"/><w:gridCol w:w="1663"/><w:gridCol w:w="749"/></w:tblGrid><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EFECTIVO Y EQ</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CUENTAS POR COBRAR</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PSA</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Ene-10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183.931,59</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2.067.281,30</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1.132.514,68</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1,99</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Feb-10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208.040,34</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2.357.784,42</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1.638.131,36</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1,57</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Mar-10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367.992,06</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2.417.297,53</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1.800.804,94</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1,55</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Abr-10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347.286,93</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2.417.297,53</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1.800.804,94</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1,54</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May-10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598.888,48</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2.465.675,64</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2.245.618,11</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1,36</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Jun-10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518.218,43</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3.082.991,18</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3.560.426,54</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1,01</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Jul-10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827.236,28</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3.276.271,93</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3.844.863,03</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1,07</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Ago-10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1.053.959,43</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3.100.757,34</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4.439.805,91</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0,94</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Sept-10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1.367.073,43</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2.743.062,92</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4.425.615,48</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0,93</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Oct-10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1.207.124,87</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2.012.533,09</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4.544.296,31</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0,71</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Nov-10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285.938,77</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2.300.636,83</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4.096.263,94</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0,63</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Dic-10</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169.989,66</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1.631.388,11</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4.354.433,34</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0,41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31-12-2010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N°18 Prueba Súper Ácida 2011</w:t></w:r></w:p><w:tbl><w:tblPr><w:jc w:val="center"/><w:tblBorders></w:tblBorders></w:tblPr><w:tblGrid><w:gridCol w:w="1254"/><w:gridCol w:w="2017"/><w:gridCol w:w="2681"/><w:gridCol w:w="1663"/><w:gridCol w:w="749"/></w:tblGrid><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EFECTIVO Y EQ</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CUENTAS POR COBRAR</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PSA</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Ene-11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134.915,42</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2.627.476,07</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5.489.933,78</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0,50</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Feb-11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426.758,99</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2.797.479,15</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5.728.109,01</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0,56</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Mar-11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731.720,24</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3.218.989,88</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5.601.848,79</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0,71</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Abr-11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996.139,50</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2.473.487,11</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5.698.435,50</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0,61</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May-11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1.060.477,03</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2.789.435,94</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6.069.685,06</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0,63</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Jun-11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1.251.963,22</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2.913.011,34</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6.716.414,08</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0,62</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Jul-11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1.271.706,76</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3.313.128,94</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7.274.542,47</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0,63</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Ago-11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1.995.829,93</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2.513.250,73</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6.756.940,68</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0,67</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Sept-11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2.216.935,10</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2.496.692,70</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6.833.178,98</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0,69</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Oct-11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3.286.358,78</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2.584.088,87</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7.796.390,54</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0,75</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Nov-11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10.962.852,36</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2733696,04</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8204558,72</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1,67</w:t></w:r></w:p></w:tc></w:tr><w:tr><w:trPr><w:trHeight w:hRule="atLeast" w:val="300"/><w:cantSplit w:val="false"/></w:trPr><w:tc><w:tcPr><w:tcW w:type="dxa" w:w="125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Dic-11</w:t></w:r></w:p></w:tc><w:tc><w:tcPr><w:tcW w:type="dxa" w:w="20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36.570.605,93</w:t></w:r></w:p></w:tc><w:tc><w:tcPr><w:tcW w:type="dxa" w:w="268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2188123,99</w:t></w:r></w:p></w:tc><w:tc><w:tcPr><w:tcW w:type="dxa" w:w="16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7748531,54</w:t></w:r></w:p></w:tc><w:tc><w:tcPr><w:tcW w:type="dxa" w:w="7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5,00</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31-12-2011 del Frigorífico Industrial Carabobo</w:t></w:r></w:p><w:p><w:pPr><w:pStyle w:val="style0"/><w:tabs><w:tab w:leader="none" w:pos="5160" w:val="left"/></w:tabs><w:spacing w:after="160" w:before="0" w:line="256" w:lineRule="auto"/><w:jc w:val="center"/></w:pPr><w:r><w:rPr><w:rFonts w:ascii="Times New Roman" w:hAnsi="Times New Roman"/><w:sz w:val="24"/><w:szCs w:val="24"/><w:lang w:val="es-VE"/></w:rPr><w:t>ANEXO N°19 Prueba Súper Ácida 2012</w:t></w:r></w:p><w:tbl><w:tblPr><w:jc w:val="center"/><w:tblBorders></w:tblBorders></w:tblPr><w:tblGrid><w:gridCol w:w="1417"/><w:gridCol w:w="1984"/><w:gridCol w:w="2694"/><w:gridCol w:w="2144"/><w:gridCol w:w="798"/></w:tblGrid><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EFECTIVO Y EQ</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CUENTAS POR COBRAR</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PSA</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Ene-12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2.020.317,91</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2.937.649,83</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8.193.862,22</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0,61</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Feb-12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2.429.149,30</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3.338.512,69</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9.108.055,87</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0,63</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Mar-12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2.904.355,72</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3.150.255,99</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9.357.761,06</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0,65</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Abr-12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2.825.485,35</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3.313.878,56</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9.360.324,54</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0,66</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May-12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3.401.711,25</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3.380.894,81</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10.143.308,78</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0,67</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Jun-12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3.075.653,28</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3.676.728,33</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10.646.076,18</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0,63</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Jul-12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3.887.118,64</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3.700.906,15</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11.664.639,87</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0,65</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Ago-12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3.558.157,65</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3.567.850,23</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12.629.903,20</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0,56</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Sept-12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4.176.373,76</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3.366.825,12</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13.422.260,40</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0,56</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Oct-12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5.894.105,57</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2.982.657,22</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15.006.274,39</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0,59</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Nov-12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4.477.487,71</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1.747.165,44</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9.198.424,11</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0,68</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Dic-12</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4.539.832,78</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1.358.126,23</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9.762.537,61</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0,60</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31-12-2012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N°20 Prueba Súper Ácida 2013</w:t></w:r></w:p><w:tbl><w:tblPr><w:jc w:val="left"/><w:tblInd w:type="dxa" w:w="-108"/><w:tblBorders></w:tblBorders></w:tblPr><w:tblGrid><w:gridCol w:w="1417"/><w:gridCol w:w="1984"/><w:gridCol w:w="2694"/><w:gridCol w:w="2144"/><w:gridCol w:w="798"/></w:tblGrid><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EFECTIVO Y EQ</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CUENTAS POR COBRAR</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PSA</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Ene-13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4.909.466,63</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1.925.794,32</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10.591.261,87</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0,65</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Feb-13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5.009.097,66</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1.907.594,90</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11.187.386,34</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0,62</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Mar-13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4.831.056,38</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1.070.948,48</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11.875.733,98</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0,50</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Abr-13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5.218.033,29</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1.572.570,60</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11.880.813,25</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0,57</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May-13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5.176.353,76</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1.427.944,84</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11.122.568,56</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0,59</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Jun-13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5.245.313,14</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1.325.061,41</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11.259.509,62</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0,58</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Jul-13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5.315.191,21</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1.229.590,74</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11.398.136,71</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0,57</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Ago-13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5.386.000,18</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1.140.998,73</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11.538.470,57</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0,57</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Sept-13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5.457.752,48</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1.058.789,77</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11.680.532,22</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0,56</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Oct-13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5.530.460,66</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982.503,97</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11.824.342,93</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0,55</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Nov-13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5.604.137,45</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911.714,55</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11.969.924,24</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0,54</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Dic-13</w:t></w:r></w:p></w:tc><w:tc><w:tcPr><w:tcW w:type="dxa" w:w="198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5.678.795,77</w:t></w:r></w:p></w:tc><w:tc><w:tcPr><w:tcW w:type="dxa" w:w="269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846.025,52</w:t></w:r></w:p></w:tc><w:tc><w:tcPr><w:tcW w:type="dxa" w:w="2144"/><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12.117.297,95</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0,54</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31-12-2013 del Frigorífico Industrial Carabobo</w:t></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N°21 Prueba Súper Ácida 2014</w:t></w:r></w:p><w:tbl><w:tblPr><w:jc w:val="left"/><w:tblInd w:type="dxa" w:w="-108"/><w:tblBorders></w:tblBorders></w:tblPr><w:tblGrid><w:gridCol w:w="1700"/><w:gridCol w:w="1785"/><w:gridCol w:w="2467"/><w:gridCol w:w="2287"/><w:gridCol w:w="798"/></w:tblGrid><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EFECTIVO Y EQ</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CUENTAS POR COBRAR</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PC</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PSA</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Ene-14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5.754.448,69</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785.069,38</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12.266.486,12</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0,53</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Feb-14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5.831.109,46</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728.505,13</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12.417.511,09</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0,53</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Mar-14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5.908.791,50</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676.016,34</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12.570.395,49</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0,52</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Abr-14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5.987.508,42</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627.309,36</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12.725.162,20</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0,52</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May-14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6.067.274,00</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582.111,72</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12.881.834,40</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0,52</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Jun-14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6.148.102,23</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540.170,57</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13.040.435,54</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0,51</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Jul-14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6.230.007,25</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501.251,28</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13.200.989,39</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0,51</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Ago-14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6.313.003,40</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465.136,13</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13.363.519,97</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0,51</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Sept-14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6.397.105,23</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431.623,07</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13.528.051,62</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0,50</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Oct-14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6.482.327,47</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400.524,63</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13.694.609,00</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0,50</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Nov-14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6.568.685,04</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371.666,83</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13.863.217,02</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0,50</w:t></w:r></w:p></w:tc></w:tr><w:tr><w:trPr><w:trHeight w:hRule="atLeast" w:val="300"/><w:cantSplit w:val="false"/></w:trPr><w:tc><w:tcPr><w:tcW w:type="dxa" w:w="17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Dic-14</w:t></w:r></w:p></w:tc><w:tc><w:tcPr><w:tcW w:type="dxa" w:w="178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6.656.193,06</w:t></w:r></w:p></w:tc><w:tc><w:tcPr><w:tcW w:type="dxa" w:w="246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344.888,23</w:t></w:r></w:p></w:tc><w:tc><w:tcPr><w:tcW w:type="dxa" w:w="228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14.033.900,95</w:t></w:r></w:p></w:tc><w:tc><w:tcPr><w:tcW w:type="dxa" w:w="79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0,50</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N°22 Razón Fondo de Maniobra 2008</w:t></w:r></w:p><w:tbl><w:tblPr><w:jc w:val="center"/><w:tblBorders></w:tblBorders></w:tblPr><w:tblGrid><w:gridCol w:w="1262"/><w:gridCol w:w="1476"/><w:gridCol w:w="1477"/><w:gridCol w:w="1030"/></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CT</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1.888.148,17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4.891.553,21</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2.345.753,05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5.490.727,82</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2.581.228,15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5.845.223,38</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2.945.622,04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6.347.597,24</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3.088.237,01</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6.650.173,67</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2.951.056,28</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6.819.388,99</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2.974.232,03</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7.041.264,05</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3.038.321,67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7.359.381,85</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3.252.586,81</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7.742.849,27</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2.521.106,57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5.802.851,79</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2.456.944,68</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5.264.822,04</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2.537.340,74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5.293.917,16</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0,48</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31-12-2008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N°23 Razón Fondo de Maniobra 2009</w:t></w:r></w:p><w:tbl><w:tblPr><w:jc w:val="center"/><w:tblBorders></w:tblBorders></w:tblPr><w:tblGrid><w:gridCol w:w="1262"/><w:gridCol w:w="1476"/><w:gridCol w:w="1477"/><w:gridCol w:w="1030"/></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CT</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2.654.949,04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5.422.539,70</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2.781.148,60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5.101.085,59</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2.982.387,27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5.370.603,08</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2.976.567,42</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5.454.309,59</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3.075.968,10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5.614.671,29</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3.228.143,46</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5.850.242,65</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3.327.058,49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5.927.148,99</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3.078.058,25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6.143.027,97</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0,50</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1.712.037,37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5.108.935,85</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2.781.319,37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6.178.217,85</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2.455.364,75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5.715.514,94</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2.450.691,98</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5.928.528,90</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31-12-2009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N°24 Razón Fondo de Maniobra 2010</w:t></w:r></w:p><w:tbl><w:tblPr><w:jc w:val="center"/><w:tblBorders></w:tblBorders></w:tblPr><w:tblGrid><w:gridCol w:w="1262"/><w:gridCol w:w="1557"/><w:gridCol w:w="1475"/><w:gridCol w:w="1031"/></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CT</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1.816.872,84</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6.465.027,43</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1.739.337,49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6.879.236,22</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1.779.446,91</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7.073.423,80</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1.758.741,78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7.052.718,67</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1.617.129,85</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7.750.244,82</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916.492,15</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8.399.680,16</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1.165.374,91</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8.919.191,54</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659.678,23</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9.002.676,06</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741.958,54</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9.064.027,16</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-442.450,22</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8.861.540,97</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-588.870,11</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8.386.286,58</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Dic-10</w:t></w:r></w:p></w:tc><w:tc><w:tcPr><w:tcW w:type="dxa" w:w="15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-1.462.445,57</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7.737.925,68</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-0,19</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31-12-2010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N°25 Razón Fondo de Maniobra 2011</w:t></w:r></w:p><w:tbl><w:tblPr><w:jc w:val="center"/><w:tblBorders></w:tblBorders></w:tblPr><w:tblGrid><w:gridCol w:w="1262"/><w:gridCol w:w="1556"/><w:gridCol w:w="1595"/><w:gridCol w:w="1031"/></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CT</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-1.569.387,64</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8.402.922,27</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-1.398.043,51</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8.775.157,36</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-717.999,99</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9.298.950,14</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-1.167.833,37</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8.924.776,17</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-1.157.873,89</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9.360.917,78</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-1.293.460,13</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9.834.776,29</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-1.530.055,09</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10.473.696,36</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-987.437,46</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10.498.712,20</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-725.510,96</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10.811.408,34</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-354.287,79</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11.894.951,01</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-496.182,54</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12.389.273,22</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-413.807,04</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12.904.138,13</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-0,03</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31-12-2011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N°26 Razón Fondo de Maniobra 2012</w:t></w:r></w:p><w:tbl><w:tblPr><w:jc w:val="center"/><w:tblBorders></w:tblBorders></w:tblPr><w:tblGrid><w:gridCol w:w="1263"/><w:gridCol w:w="1375"/><w:gridCol w:w="1596"/><w:gridCol w:w="1030"/></w:tblGrid><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CT</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-211.553,97</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12.623.049,53</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-0,02</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-68.828,13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13.671.784,75</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46.398,89</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13.969.716,96</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0,00</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91.513,55</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13.994.910,83</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157.165,93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15.037.294,41</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32.253,71</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16.737.863,49</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0,00</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322.930,84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18.423.917,55</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0,02</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-206.329,04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18.821.090,30</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-211.091,38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19.557.957,70</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-490.203,44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20.414.124,14</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-0,02</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-327.019,72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14.712.680,69</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-0,02</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Dic-12</w:t></w:r></w:p></w:tc><w:tc><w:tcPr><w:tcW w:type="dxa" w:w="13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-993.990,10</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14.549.662,99</w:t></w:r></w:p></w:tc><w:tc><w:tcPr><w:tcW w:type="dxa" w:w="103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-0,07</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31-12-2012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N°27 Razón Fondo de Maniobra 2013</w:t></w:r></w:p><w:tbl><w:tblPr><w:jc w:val="center"/><w:tblBorders></w:tblBorders></w:tblPr><w:tblGrid><w:gridCol w:w="1262"/><w:gridCol w:w="1556"/><w:gridCol w:w="1595"/><w:gridCol w:w="1031"/></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CT</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-722.468,06</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15.598.393,47</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-1.356.134,58</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15.500.690,60</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-2.350.184,33</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15.731.468,41</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-2.103.368,08</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15.922.889,70</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-1.976.421,62</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15.316.041,56</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-2.285.602,92</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15.385.827,27</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-2.593.226,62</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15.455.930,94</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-2.899.374,54</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15.526.354,04</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-3.204.127,65</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15.597.098,00</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-3.507.566,01</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15.668.164,31</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-3.809.768,87</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15.739.554,42</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Dic-13</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-4.110.814,62</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15.811.269,81</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-0,26</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31-12-2013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N°28 Razón Fondo de Maniobra 2014</w:t></w:r></w:p><w:tbl><w:tblPr><w:jc w:val="center"/><w:tblBorders></w:tblBorders></w:tblPr><w:tblGrid><w:gridCol w:w="1262"/><w:gridCol w:w="1556"/><w:gridCol w:w="1595"/><w:gridCol w:w="1031"/></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CT</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-4.410.780,88</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15.883.311,97</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-4.709.744,50</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15.955.682,37</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-0,30</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-5.007.781,56</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16.028.382,52</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-5.304.967,41</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16.101.413,92</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-5.601.376,72</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16.174.778,08</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-5.897.083,44</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16.248.476,52</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-6.192.160,89</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16.322.510,75</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-6.486.681,73</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16.396.882,31</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-0,40</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-6.780.718,01</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16.471.592,74</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-7.074.341,17</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16.546.643,58</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-7.367.622,08</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16.622.036,37</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-7.660.631,05</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16.697.772,69</w:t></w:r></w:p></w:tc><w:tc><w:tcPr><w:tcW w:type="dxa" w:w="103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-0,46</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N°29 Razón de Endeudamiento 2008</w:t></w:r></w:p><w:tbl><w:tblPr><w:jc w:val="center"/><w:tblBorders></w:tblBorders></w:tblPr><w:tblGrid><w:gridCol w:w="1263"/><w:gridCol w:w="1475"/><w:gridCol w:w="1476"/><w:gridCol w:w="1477"/></w:tblGrid><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1.191.896,73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4.891.553,21</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0,243664268</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1.310.410,30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5.490.727,82</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0,238658761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1.408.620,91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5.845.223,38</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0,240986669</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1.559.982,94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6.347.597,24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0,245759597</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1.731.551,15</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6.650.173,67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0,260376832</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1.990.311,89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6.819.388,99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0,291860736</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2.189.627,70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7.041.264,05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0,310970826</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2.433.460,26</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7.359.381,85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0,330660959</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2750318,197</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7.742.849,27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0,355207508</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1.445.270,35</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5.802.851,79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0,249062082</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971.251,92</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5.264.822,04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0,184479535</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Dic-08</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922.668,83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5.293.917,16</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0,17428849</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31-12-2008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N°30 Razón de Endeudamiento 2009</w:t></w:r></w:p><w:tbl><w:tblPr><w:jc w:val="center"/><w:tblBorders></w:tblBorders></w:tblPr><w:tblGrid><w:gridCol w:w="1263"/><w:gridCol w:w="1475"/><w:gridCol w:w="1476"/><w:gridCol w:w="1477"/></w:tblGrid><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938.626,78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5.422.539,70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0,173097263</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501.150,57</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5.101.085,59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0,098243905</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575.278,50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5.370.603,08</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0,107116183</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634.198,78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5.454.309,59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0,116274804</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691.835,50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5.614.671,29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0,123219235</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778.731,86</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5.850.242,65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0,133111036</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756.622,39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5.927.148,99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0,127653681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890.087,86</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6.143.027,97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0,144893994</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1.068.733,81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5.108.935,85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0,209189123</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1.068.733,81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6.178.217,85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0,172984158</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532.316,09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5.715.514,94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0,093135281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Dic-09</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695.635,14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5.928.528,90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0,117336889</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31-12-2009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N°31 Razón de Endeudamiento 2010</w:t></w:r></w:p><w:tbl><w:tblPr><w:jc w:val="center"/><w:tblBorders></w:tblBorders></w:tblPr><w:tblGrid><w:gridCol w:w="1263"/><w:gridCol w:w="1475"/><w:gridCol w:w="1476"/><w:gridCol w:w="1477"/></w:tblGrid><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1.132.514,68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6.465.027,43</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0,175175541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1.638.131,36</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6.879.236,22</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0,238126924</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1.800.804,94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7.073.423,80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0,254587452</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1.800.804,94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7.052.718,67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0,255334861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2.245.618,11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7.750.244,82</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0,289748022</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3.560.426,54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8.399.680,16</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0,423876442</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3.844.863,03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8.919.191,54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0,431077527</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4.439.805,91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9.002.676,06</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0,49316513</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4.425.615,48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9.064.027,16</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0,488261498</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4.544.296,31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8.861.540,97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0,51281107</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4.096.263,94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8.386.286,58</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0,488447885</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Dic-10</w:t></w:r></w:p></w:tc><w:tc><w:tcPr><w:tcW w:type="dxa" w:w="147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4.354.433,34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7.737.925,68</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0,562739101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31-12-2010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N°32 Razón de Endeudamiento 2011</w:t></w:r></w:p><w:tbl><w:tblPr><w:jc w:val="center"/><w:tblBorders></w:tblBorders></w:tblPr><w:tblGrid><w:gridCol w:w="1262"/><w:gridCol w:w="1556"/><w:gridCol w:w="1596"/><w:gridCol w:w="1556"/></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5.489.933,78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8.402.922,27</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0,653336257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5.728.109,01</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8.775.157,36</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0,65276425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5.601.848,79</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9.298.950,14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0,602417338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5.698.435,50</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8.924.776,17</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0,638496181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6.069.685,06</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9.360.917,78</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0,648407048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6.716.414,08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9.834.776,29</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0,682924947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7.274.542,47</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10.473.696,36</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0,6945535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6.756.940,68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10.498.712,20</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0,643597096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6.833.178,98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10.811.408,34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0,632034122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7.796.390,54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11.894.951,01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0,655436961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-8.204.558,72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12.363.792,16</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-0,684275446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-7748531,54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11.990.140,48</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-0,646241931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31-12-2011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N°33 Razón de Endeudamiento 2012</w:t></w:r></w:p><w:tbl><w:tblPr><w:jc w:val="center"/><w:tblBorders></w:tblBorders></w:tblPr><w:tblGrid><w:gridCol w:w="1262"/><w:gridCol w:w="1596"/><w:gridCol w:w="1595"/><w:gridCol w:w="1477"/></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8.193.862,22</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12.623.049,53</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0,649119074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9.108.055,87</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13.671.784,75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0,666193627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9.357.761,06</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13.969.716,96</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0,669860462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9.360.324,54</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13.994.910,83</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0,668837741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10.143.308,78</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15.037.294,41</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0,674543472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11.996.076,18</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16.737.863,49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0,716702952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13.009.014,87</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18.423.917,55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0,70609385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13.968.653,20</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18.821.090,30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0,742180871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14.755.385,40</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19.557.957,70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0,75444408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16.333.774,39</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20.414.124,14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0,800121243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10.520.299,11</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14.712.680,69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0,715049781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11.078.787,61</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14.549.662,99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0,761446338</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31-12-2012 del Frigorífico Industrial Carabobo</w:t></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N°34 Razón de Endeudamiento 2013</w:t></w:r></w:p><w:tbl><w:tblPr><w:jc w:val="center"/><w:tblBorders></w:tblBorders></w:tblPr><w:tblGrid><w:gridCol w:w="1262"/><w:gridCol w:w="1596"/><w:gridCol w:w="1595"/><w:gridCol w:w="1477"/></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11.901.886,87</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15.598.393,47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0,763020044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12.492.386,34</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15.500.690,60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0,805924501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13.175.108,98</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15.731.468,41</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0,837500266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13.174.563,25</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15.922.889,70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0,827397759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12.410.693,56</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15.316.041,56</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0,810306861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12.541.257,78</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15.385.827,27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0,815117547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12.673.195,57</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15.455.930,94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0,819956793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12.806.521,39</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15.526.354,04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0,82482477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12.941.249,84</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15.597.098,00</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0,829721647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13.077.395,67</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15.668.164,31</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0,834647596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13.214.973,80</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15.739.554,42</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0,839602789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13.353.999,29</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15.811.269,81</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0,844587402</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31-12-2013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N°35 Razón de Endeudamiento 2014</w:t></w:r></w:p><w:tbl><w:tblPr><w:jc w:val="center"/><w:tblBorders></w:tblBorders></w:tblPr><w:tblGrid><w:gridCol w:w="1262"/><w:gridCol w:w="1596"/><w:gridCol w:w="1595"/><w:gridCol w:w="1477"/></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AT</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13.494.487,36</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15.883.311,97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0,849601607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13.636.453,42</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15.955.682,37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0,85464558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13.779.913,00</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16.028.382,52</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0,8597195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13.924.881,82</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16.101.413,92</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0,864823542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14.071.375,75</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16.174.778,08</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0,869957886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14.219.410,85</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16.248.476,52</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0,875122713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14.369.003,32</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16.322.510,75</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0,880318202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14.520.169,54</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16.396.882,31</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0,885544536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14.672.926,08</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16.471.592,74</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0,890801898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14.827.289,66</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16.546.643,58</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0,896090473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14.983.277,20</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16.622.036,37</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0,901410445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Dic-14</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15.140.905,77</w:t></w:r></w:p></w:tc><w:tc><w:tcPr><w:tcW w:type="dxa" w:w="159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16.697.772,69</w:t></w:r></w:p></w:tc><w:tc><w:tcPr><w:tcW w:type="dxa" w:w="147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0,906762001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del Frigorífico Industrial Carabobo</w:t></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N°36 Razón de Apalancamiento Externo 2008</w:t></w:r></w:p><w:tbl><w:tblPr><w:jc w:val="center"/><w:tblBorders></w:tblBorders></w:tblPr><w:tblGrid><w:gridCol w:w="1262"/><w:gridCol w:w="1476"/><w:gridCol w:w="1515"/><w:gridCol w:w="1357"/></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CAP TOTAL</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1.191.896,73</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3.177.080,00</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0,37515477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1.310.410,30</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3.498.500,28</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0,37456344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1.408.620,91</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3.667.648,35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0,38406651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1.559.982,94</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3.899.316,16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0,40006578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1.731.551,15</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3.985.781,58</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0,43443202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1.990.311,89</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3.926.681,61</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0,50686867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2.189.627,70</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3.941.570,71</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0,55552161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2.433.460,26</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3.990.598,97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0,60979825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2.750.318,20</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4.118.327,41</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0,66782408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1.445.270,35</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4.357.581,45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0,33166801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971.251,92</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4.293.570,12</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0,2262108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922.668,83</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4.369.198,30</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0,21117577</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31-12-2008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N°37 Razón de Apalancamiento Externo 2009</w:t></w:r></w:p><w:tbl><w:tblPr><w:jc w:val="center"/><w:tblBorders></w:tblBorders></w:tblPr><w:tblGrid><w:gridCol w:w="1262"/><w:gridCol w:w="1476"/><w:gridCol w:w="1515"/><w:gridCol w:w="1357"/></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CAP TOTAL</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938.626,78</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4.462.560,00</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0,21033371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501.150,57</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4.545.034,81</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0,11026331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575.278,50</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4.673.991,92</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0,12308076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634.198,78</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4.690.350,83</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0,13521351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691.835,50</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4.758.149,31</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0,14540012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778.731,86</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4.856.274,81</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0,16035581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756.622,39</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4.927.683,27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0,15354526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890.087,86</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5.252.940,11</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0,16944565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1.068.733,81</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5.226.045,65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0,20450143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1.068.733,81</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5.109.484,04</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0,20916668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532.316,09</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5.172.141,63</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0,10291986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Dic-09</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695.635,14</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5.213.443,62</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0,13343103</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31-12-2009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N°38 Razón de Apalancamiento Externo 2010</w:t></w:r></w:p><w:tbl><w:tblPr><w:jc w:val="center"/><w:tblBorders></w:tblBorders></w:tblPr><w:tblGrid><w:gridCol w:w="1262"/><w:gridCol w:w="1476"/><w:gridCol w:w="1515"/><w:gridCol w:w="1357"/></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CAP TOTAL</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1.132.514,68</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5.284.182,99</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0,21432162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1.638.131,36</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5.229.153,25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0,31326895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1.800.804,94</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5.255.940,15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0,3426228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1.800.804,94</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5.346.863,38</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0,33679651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2.245.618,11</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5.420.438,98</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0,41428713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3.560.426,54</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4.839.253,62</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0,73573878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3.844.863,03</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5.074.328,51</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0,75770873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4.439.805,91</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4.562.870,15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0,9730292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4.425.615,48</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4.638.411,68</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0,95412305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4.544.296,31</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4.317.244,66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1,0525918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4.096.263,94</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4.290.022,64</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0,95483504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Dic-10</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4.354.433,34</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3.383.492,34</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1,28696415</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31-12-2010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N°39 Razón de Apalancamiento Externo 2011</w:t></w:r></w:p><w:tbl><w:tblPr><w:jc w:val="center"/><w:tblBorders></w:tblBorders></w:tblPr><w:tblGrid><w:gridCol w:w="1262"/><w:gridCol w:w="1476"/><w:gridCol w:w="1556"/><w:gridCol w:w="1357"/></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CAP TOTAL</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5.489.933,78</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4.317.244,66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1,27162906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5.728.109,01</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4.317.244,66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1,3267974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5.601.848,79</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4.317.244,66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1,29755185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5.698.435,50</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4.317.244,66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1,31992415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6.069.685,06</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4.317.244,66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1,4059164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6.716.414,08</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4.317.244,66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1,55571773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7.274.542,47</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4.317.244,66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1,68499658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6.756.940,68</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4.317.244,66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1,56510488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6.833.178,98</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4.317.244,66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1,5827639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7.796.390,54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4.317.244,66</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1,80587184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-8204558,72</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2,00181473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Dic-11</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-7748531,54</w:t></w:r></w:p></w:tc><w:tc><w:tcPr><w:tcW w:type="dxa" w:w="155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1,89054952</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31-12-2011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N°40 Razón de Apalancamiento Externo 2012</w:t></w:r></w:p><w:tbl><w:tblPr><w:jc w:val="center"/><w:tblBorders></w:tblBorders></w:tblPr><w:tblGrid><w:gridCol w:w="1262"/><w:gridCol w:w="1596"/><w:gridCol w:w="1515"/><w:gridCol w:w="1357"/></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AÑO 2012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PT</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CAP TOTAL</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eastAsia="es-VE"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Ene-12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8.193.862,22</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1,99920491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Feb-12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9.108.055,87</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2,22225729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Mar-12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9.357.761,06</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2,28318238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Abr-12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9.360.324,54</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2,28380784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May-12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10.143.308,78</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2,47484668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Jun-12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11.996.076,18</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2,92689989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Jul-12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13.009.014,87</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3,17404488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Ago-12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13.968.653,20</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3,40818522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Sept-12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14.755.385,40</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3,60013851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Oct-12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16.333.774,39</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4.098.560,47</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3,98524665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Nov-12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10.520.299,11</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2,57828367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eastAsia="es-VE" w:val="es-VE"/></w:rPr><w:t>Dic-12</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11.078.787,61</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color w:val="000000"/><w:sz w:val="24"/><w:szCs w:val="24"/><w:lang w:eastAsia="es-VE" w:val="es-VE"/></w:rPr><w:t>2,71515637</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31-12-2012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N°41 Razón de Apalancamiento Externo 2013</w:t></w:r></w:p><w:tbl><w:tblPr><w:jc w:val="center"/><w:tblBorders></w:tblBorders></w:tblPr><w:tblGrid><w:gridCol w:w="1262"/><w:gridCol w:w="1596"/><w:gridCol w:w="1515"/><w:gridCol w:w="1357"/></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val="es-VE"/></w:rPr><w:t>AÑO 2013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val="es-VE"/></w:rPr><w:t>PT</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val="es-VE"/></w:rPr><w:t>CAP TOTAL</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color w:val="000000"/><w:sz w:val="24"/><w:szCs w:val="24"/><w:lang w:val="es-VE"/></w:rPr><w:t>RAZON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Ene-13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11.901.886,87</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2,91687909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Feb-13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12.492.386,34</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3,06159695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Mar-13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13.175.108,98</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3,22891658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Abr-13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13.174.563,25</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3,22878284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May-13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12.410.693,56</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3,04157592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Jun-13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12.541.257,78</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3,07357421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Jul-13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12.673.195,57</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3,10590914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Ago-13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12.806.521,39</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3,13858423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Sept-13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12.941.249,84</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3,17160308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Oct-13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13.077.395,67</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3,2049693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Nov-13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13.214.973,80</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3,23868654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color w:val="000000"/><w:sz w:val="24"/><w:szCs w:val="24"/><w:lang w:val="es-VE"/></w:rPr><w:t>Dic-13</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13.353.999,29</w:t></w:r></w:p></w:tc><w:tc><w:tcPr><w:tcW w:type="dxa" w:w="1515"/><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color w:val="000000"/><w:sz w:val="24"/><w:szCs w:val="24"/><w:lang w:val="es-VE"/></w:rPr><w:t>3,27275849</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31-12-2013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N°42 Razón de Apalancamiento Externo 2014</w:t></w:r></w:p><w:tbl><w:tblPr><w:jc w:val="center"/><w:tblBorders></w:tblBorders></w:tblPr><w:tblGrid><w:gridCol w:w="1262"/><w:gridCol w:w="1596"/><w:gridCol w:w="1515"/><w:gridCol w:w="135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PT</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CAP TOTAL</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RAZON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Ene-14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13.494.487,36</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3,30718889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Feb-14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13.636.453,42</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3,34198151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Mar-14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13.779.913,00</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3,37714016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Abr-14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13.924.881,82</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3,41266869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May-14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14.071.375,75</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3,44857098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Jun-14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14.219.410,85</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3,48485099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Jul-14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14.369.003,32</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3,52151266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Ago-14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14.520.169,54</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3,55856003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Sept-14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14.672.926,08</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3,59599715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Oct-14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14.827.289,66</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3,63382812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Nov-14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14.983.277,20</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3,67205708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Dic-14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15.140.905,77</w:t></w:r></w:p></w:tc><w:tc><w:tcPr><w:tcW w:type="dxa" w:w="151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3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3,71068823</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N°43 Razón de Apalancamiento Interno 2008</w:t></w:r></w:p><w:tbl><w:tblPr><w:jc w:val="center"/><w:tblBorders></w:tblBorders></w:tblPr><w:tblGrid><w:gridCol w:w="1262"/><w:gridCol w:w="1516"/><w:gridCol w:w="1476"/><w:gridCol w:w="147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CAP TOTAL</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PT</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RAZON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Ene-08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3.177.080,00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1.191.896,73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2,6655665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Feb-08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3.498.500,28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1.310.410,30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2,669774707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Mar-08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3.667.648,35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1.408.620,91</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2,603715676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Abr-08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3.899.316,16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1.559.982,94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2,499588973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May-08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3.985.781,58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1.731.551,15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2,301856099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Jun-08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3.926.681,61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1.990.311,89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1,972897627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Jul-08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3.941.570,71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2.189.627,70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1,800109994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Ago-08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3.990.598,97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2.433.460,26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1,639886638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Sept-08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4.118.327,41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2.750.318,20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1,497400343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Oct-08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4.357.581,45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1.445.270,35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3,015063199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Nov-08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4.293.570,12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971.251,92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4,420655477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Dic-08</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4.369.198,30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922.668,83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4,735391679</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31-12-2008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N°44 Razón de Apalancamiento Interno 2009</w:t></w:r></w:p><w:tbl><w:tblPr><w:jc w:val="center"/><w:tblBorders></w:tblBorders></w:tblPr><w:tblGrid><w:gridCol w:w="1262"/><w:gridCol w:w="1516"/><w:gridCol w:w="1476"/><w:gridCol w:w="147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CAP TOTAL</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PT</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RAZON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4.462.560,00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938.626,78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4,754349753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4.545.034,81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501.150,57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9,069200121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4.673.991,92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575.278,50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8,124746397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4.690.350,83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634.198,78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7,3957109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4.758.149,31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691.835,50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6,877573224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4.856.274,81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778.731,86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6,236132178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4.927.683,27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756.622,39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6,512737882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5.252.940,11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890.087,86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5,901597298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5.226.045,65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1.068.733,81</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4,88994135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5.109.484,04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1.068.733,81</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4,780876203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5.172.141,63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532.316,09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9,716297752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Dic-09</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5.213.443,62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695.635,14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7,494508718</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31-12-2009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N°45 Razón de Apalancamiento Interno 2010</w:t></w:r></w:p><w:tbl><w:tblPr><w:jc w:val="center"/><w:tblBorders></w:tblBorders></w:tblPr><w:tblGrid><w:gridCol w:w="1262"/><w:gridCol w:w="1516"/><w:gridCol w:w="1476"/><w:gridCol w:w="147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CAP TOTAL</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PT</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RAZON</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5.284.182,99</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1.132.514,68</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4,665884762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5.229.153,25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1.638.131,36</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3,192145259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5.255.940,15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1.800.804,94</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2,918661559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5.346.863,38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1.800.804,94</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2,969151882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5.420.438,98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2.245.618,11</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2,413784851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4.839.253,62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3.560.426,54</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1,359178055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5.074.328,51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3.844.863,03</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1,319768343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4.562.870,15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4.439.805,91</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1,027718383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4.638.411,68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4.425.615,48</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1,048082849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4.544.296,31</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0,950035906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4.290.022,64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4.096.263,94</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1,047301322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Dic-10</w:t></w:r></w:p></w:tc><w:tc><w:tcPr><w:tcW w:type="dxa" w:w="15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3.383.492,34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4.354.433,34</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0,777022422</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31-12-2010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N°46 Razón de Apalancamiento Interno 2011</w:t></w:r></w:p><w:tbl><w:tblPr><w:jc w:val="center"/><w:tblBorders></w:tblBorders></w:tblPr><w:tblGrid><w:gridCol w:w="1262"/><w:gridCol w:w="1516"/><w:gridCol w:w="1476"/><w:gridCol w:w="155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CAP TOTAL</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PT</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RAZON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Ene-11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5.489.933,78</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0,786392848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Feb-11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5.728.109,01</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0,75369457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Mar-11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5.601.848,79</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0,770682113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Abr-11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5.698.435,50</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0,75761929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May-11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6.069.685,06</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0,711279847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Jun-11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6.716.414,08</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0,642790127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Jul-11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7.274.542,47</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0,593473016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Ago-11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6.756.940,68</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0,638934817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Sept-11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6.833.178,98</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0,631806173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Oct-11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7.796.390,54</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0,553749153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Nov-11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-8204558,72</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-0,526200714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Dic-11</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4.317.244,66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-7748531,54</w:t></w:r></w:p></w:tc><w:tc><w:tcPr><w:tcW w:type="dxa" w:w="15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-0,557169399</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31-12-2011 del Frigorífico Industrial Carabobo</w:t></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N°47 Razón de Apalancamiento Interno 2012</w:t></w:r></w:p><w:tbl><w:tblPr><w:jc w:val="center"/><w:tblBorders></w:tblBorders></w:tblPr><w:tblGrid><w:gridCol w:w="1262"/><w:gridCol w:w="1516"/><w:gridCol w:w="1595"/><w:gridCol w:w="147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CAP TOTAL</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PT</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RAZON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Ene-12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8.193.862,22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0,500198851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Feb-12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9.108.055,87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0,4499929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Mar-12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9.357.761,06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0,437985159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Abr-12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9.360.324,54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0,43786521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May-12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10.143.308,78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0,404065435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Jun-12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11.996.076,18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0,341658423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Jul-12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13.009.014,87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0,315055407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Ago-12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13.968.653,20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0,293411284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Sept-12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14.755.385,40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0,27776709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Oct-12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16.333.774,39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0,250925498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Nov-12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10.520.299,11</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0,387854918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Dic-12</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11.078.787,61</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0,368302913</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31-12-2012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N°48 Razón de Apalancamiento Interno 2013</w:t></w:r></w:p><w:tbl><w:tblPr><w:jc w:val="center"/><w:tblBorders></w:tblBorders></w:tblPr><w:tblGrid><w:gridCol w:w="1262"/><w:gridCol w:w="1516"/><w:gridCol w:w="1595"/><w:gridCol w:w="147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CAP TOTAL</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PT</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RAZON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Ene-13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11.901.886,87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0,342832174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Feb-13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12.492.386,34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0,326626926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Mar-13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13.175.108,98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0,309701404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Abr-13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13.174.563,25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0,309714233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May-13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12.410.693,56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0,328776932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Jun-13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12.541.257,78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0,325354109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Jul-13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12.673.195,57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0,32196692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Ago-13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12.806.521,39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0,318614995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Sept-13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12.941.249,84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0,315297966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Oct-13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13.077.395,67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0,312015469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Nov-13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13.214.973,80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0,308767146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Dic-13</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13.353.999,29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0,305552641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31-12-2013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N°49 Razón de Apalancamiento Interno 2014</w:t></w:r></w:p><w:tbl><w:tblPr><w:jc w:val="center"/><w:tblBorders></w:tblBorders></w:tblPr><w:tblGrid><w:gridCol w:w="1262"/><w:gridCol w:w="1516"/><w:gridCol w:w="1595"/><w:gridCol w:w="147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CAP TOTAL</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PT</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RAZON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Ene-14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13.494.487,36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0,302371601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Feb-14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13.636.453,42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0,299223678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Mar-14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13.779.913,00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0,296108528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Abr-14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13.924.881,82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0,293025808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May-14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14.071.375,75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0,289975182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Jun-14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14.219.410,85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0,286956316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Jul-14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14.369.003,32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0,283968878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Ago-14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14.520.169,54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0,281012542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Sept-14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14.672.926,08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0,278086983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Oct-14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14.827.289,66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0,275191882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Nov-14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14.983.277,20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0,272326921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Dic-14</w:t></w:r></w:p></w:tc><w:tc><w:tcPr><w:tcW w:type="dxa" w:w="15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159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15.140.905,77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0,269491787</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N°50 Días Cuentas Por Cobrar 2008</w:t></w:r></w:p><w:tbl><w:tblPr><w:jc w:val="center"/><w:tblBorders></w:tblBorders></w:tblPr><w:tblGrid><w:gridCol w:w="1417"/><w:gridCol w:w="1841"/><w:gridCol w:w="1200"/><w:gridCol w:w="1751"/><w:gridCol w:w="1486"/></w:tblGrid><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AÑO 2008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CTAS POR COBRAR</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VENTAS</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DIAS</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Ene-08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2.095.508,42</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3.227.502,08</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233,735877</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Feb-08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2.059.530,14</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4.121.186,66</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179,907126</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Mar-08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2.329.128,96</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4.873.304,92</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172,057041</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Abr-08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2.452.348,60</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5.777.114,45</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152,817726</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May-08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2.680.532,64</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6.473.441,18</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149,069362</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Jun-08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2.667.621,62</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7.149.774,18</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134,318058</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Jul-08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2.745.968,82</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7.980.758,14</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123,866525</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Ago-08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3.241.304,11</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8.797.090,32</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132,642662</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Sept-08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3.221.207,86</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10.694.694,47</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108,430852</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Oct-08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1.565.984,99</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10.388.688,74</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54,2661938</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Nov-08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1.559.455,29</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489.659,64</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1146,51864</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Dic-08</w:t></w:r></w:p></w:tc><w:tc><w:tcPr><w:tcW w:type="dxa" w:w="184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1.640.046,26</w:t></w:r></w:p></w:tc><w:tc><w:tcPr><w:tcW w:type="dxa" w:w="120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360</w:t></w:r></w:p></w:tc><w:tc><w:tcPr><w:tcW w:type="dxa" w:w="175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1.056.413,45</w:t></w:r></w:p></w:tc><w:tc><w:tcPr><w:tcW w:type="dxa" w:w="14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558,887861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31-12-2008 y Estado de Ganancias y Pérdidas del 01-01-2008 al 31-12-2008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N°51 Días Cuentas Por Cobrar 2009</w:t></w:r></w:p><w:tbl><w:tblPr><w:jc w:val="center"/><w:tblBorders></w:tblBorders></w:tblPr><w:tblGrid><w:gridCol w:w="1262"/><w:gridCol w:w="2390"/><w:gridCol w:w="696"/><w:gridCol w:w="1476"/><w:gridCol w:w="1358"/></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AÑO 2009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CTAS POR COBRAR</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VENTAS</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DIAS</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Ene-09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1.286.838,88</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1.604.125,24</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288,794157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Feb-09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1.313.691,46</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2.097.211,53</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225,503684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Mar-09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1.472.754,50</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2.820.770,57</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187,959852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Abr-09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1.534.931,16</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3.405.427,79</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162,263085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May-09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1.574.795,63</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3.984.817,04</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142,271633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Jun-09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1.731.703,68</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4.739.604,92</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131,532762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Jul-09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1.831.479,71</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6.283.638,03</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104,928497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Ago-09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1.603.690,28</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6.254.990,95</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92,2988547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Sept-09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668.953,14</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7.084.216,07</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33,9943232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Oct-09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2.391.983,60</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8.005.726,80</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107,562264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Nov-09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2.208.884,70</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846.473,05</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939,425646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Dic-09</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2.426.054,25</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1.767.035,69</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494,26253</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31-12-2009 y Estado de Ganancias y Pérdidas del 01-01-2009 al 31-12-2009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N°52 Días Cuentas Por Cobrar 2010</w:t></w:r></w:p><w:tbl><w:tblPr><w:jc w:val="center"/><w:tblBorders></w:tblBorders></w:tblPr><w:tblGrid><w:gridCol w:w="1262"/><w:gridCol w:w="2389"/><w:gridCol w:w="696"/><w:gridCol w:w="1596"/><w:gridCol w:w="1358"/></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AÑO 2010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CTAS POR COBRAR</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VENTAS</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DIAS</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Ene-10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2.067.281,30</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2.485.351,66</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299,443045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Feb-10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2.357.784,42</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3.395.363,82</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249,988642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Mar-10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2.417.297,53</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4.557.648,44</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190,937744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Abr-10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2.417.297,53</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5.722.525,12</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152,070475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May-10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2.465.675,64</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6.857.880,97</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129,434039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Jun-10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3.082.991,18</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8.291.656,38</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133,854657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Jul-10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3.276.271,93</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9.470.557,33</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124,539439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Ago-10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3.100.757,34</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10.358.288,64</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107,766126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Sept-10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2.743.062,92</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11.659.688,47</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84,6937424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Oct-10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2.012.533,09</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13.065.430,42</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55,4525866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Nov-10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2.300.636,83</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1.617.593,44</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512,01324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Dic-10</w:t></w:r></w:p></w:tc><w:tc><w:tcPr><w:tcW w:type="dxa" w:w="238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1.631.388,11</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360</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3.061.215,09</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191,851831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31-12-2010 y Estado de Ganancias y Pérdidas del 01-01-2010 al 31-12-2010 del Frigorífico Industrial Carabobo</w:t></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N°53 Días Cuentas Por Cobrar 2011</w:t></w:r></w:p><w:tbl><w:tblPr><w:jc w:val="center"/><w:tblBorders></w:tblBorders></w:tblPr><w:tblGrid><w:gridCol w:w="1262"/><w:gridCol w:w="2390"/><w:gridCol w:w="696"/><w:gridCol w:w="1476"/><w:gridCol w:w="135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CTAS POR COBRAR</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DIAS</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Ene-11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2.627.476,07</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1.300.328,59</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727,424893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Feb-11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2.797.479,15</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1.518.989,31</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663,001699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Mar-11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3.218.989,88</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2.234.613,03</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518,584802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Abr-11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2.473.487,11</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803.053,80</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1108,83649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May-11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2.789.435,94</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1.745.344,68</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575,357378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Jun-11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2.913.011,34</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1.658.541,80</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632,292826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Jul-11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3.313.128,94</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1.653.785,89</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721,209696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Ago-11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2.513.250,73</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1.865.872,25</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484,904721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Sept-11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2.496.692,70</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2.010.614,93</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447,032079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Oct-11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2.584.088,87</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2.061.312,20</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451,300872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Nov-11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2733696,04</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2.181.945,15</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451,033598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Dic-11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2188123,99</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2.309.637,84</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341,059807</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31-12-2011 y Estado de Ganancias y Pérdidas del 01-01-2011 al 31-12-2011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N°54 Días Cuentas Por Cobrar 2012</w:t></w:r></w:p><w:tbl><w:tblPr><w:jc w:val="center"/><w:tblBorders></w:tblBorders></w:tblPr><w:tblGrid><w:gridCol w:w="1262"/><w:gridCol w:w="2390"/><w:gridCol w:w="696"/><w:gridCol w:w="1476"/><w:gridCol w:w="135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CTAS POR COBRAR</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DIAS</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2.937.649,83</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1.854.644,82</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570,219121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3.338.512,69</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2.078.982,00</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578,102441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3.150.255,99</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2.214.834,39</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512,043772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3.313.878,56</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1.784.676,85</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668,466273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3.380.894,81</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2.412.582,40</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504,489352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3.676.728,33</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2.609.499,49</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507,232212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3.700.906,15</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2.585.299,91</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515,346869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3.567.850,23</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2.344.360,77</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547,879021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3.366.825,12</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2.107.064,41</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575,234928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2.982.657,22</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2.700.768,88</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397,574412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1.747.165,44</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2.737.720,94</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229,74568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1.358.126,23</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2.576.500,42</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189,763386</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31-12-2012 y Estado de Ganancias y Pérdidas del 01-01-2012 al 31-12-2012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N°55 Días Cuentas Por Cobrar 2013</w:t></w:r></w:p><w:tbl><w:tblPr><w:jc w:val="center"/><w:tblBorders></w:tblBorders></w:tblPr><w:tblGrid><w:gridCol w:w="1262"/><w:gridCol w:w="2390"/><w:gridCol w:w="696"/><w:gridCol w:w="1476"/><w:gridCol w:w="1358"/></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CTAS POR COBRAR</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VENTAS</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DIAS</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1.925.794,32</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2.618.711,07</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264,743203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1.907.594,90</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2.280.917,84</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301,077992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1.070.948,48</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2.280.739,59</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169,042294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1.572.570,60</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3.018.765,01</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187,535437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1.427.944,84</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3.013.029,55</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170,61238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1.325.061,41</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3.120.558,55</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152,864336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1.229.590,74</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3.231.925,04</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136,962541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1.140.998,73</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3.347.265,98</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122,714939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1.058.789,77</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3.466.723,21</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109,949452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982.503,97</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3.590.443,63</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98,5119011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911.714,55</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3.718.579,38</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88,2641477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Dic-13</w:t></w:r></w:p></w:tc><w:tc><w:tcPr><w:tcW w:type="dxa" w:w="239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846.025,52</w:t></w:r></w:p></w:tc><w:tc><w:tcPr><w:tcW w:type="dxa" w:w="6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3.851.288,04</w:t></w:r></w:p></w:tc><w:tc><w:tcPr><w:tcW w:type="dxa" w:w="13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79,0824224</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31-12-2013 y Estado de Ganancias y Pérdidas del 01-01-2013 al 31-12-2013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N°56 Días Cuentas Por Cobrar 2014</w:t></w:r></w:p><w:tbl><w:tblPr><w:jc w:val="center"/><w:tblBorders></w:tblBorders></w:tblPr><w:tblGrid><w:gridCol w:w="1262"/><w:gridCol w:w="2390"/><w:gridCol w:w="696"/><w:gridCol w:w="1476"/><w:gridCol w:w="135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CTAS POR COBRAR</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DIAS</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785.069,38</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3.988.732,81</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70,8558309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728.505,13</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4.131.082,71</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63,4850151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676.016,34</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4.278.512,79</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56,8809523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627.309,36</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4.431.204,35</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50,9638807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582.111,72</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4.589.345,17</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45,6623357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540.170,57</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4.753.129,72</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40,9122867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501.251,28</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4.922.759,42</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36,6563641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465.136,13</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5.098.442,85</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32,8431662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431.623,07</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5.280.396,08</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29,4266382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400.524,63</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5.468.842,86</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26,3655164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371.666,83</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5.664.014,92</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23,6228294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344.888,23</w:t></w:r></w:p></w:tc><w:tc><w:tcPr><w:tcW w:type="dxa" w:w="6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5.866.152,29</w:t></w:r></w:p></w:tc><w:tc><w:tcPr><w:tcW w:type="dxa" w:w="13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21,1654519</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y Estado de Ganancias y Pérdidas del 01-01-2014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N°57 Rotación de Cuentas Por Cobrar 2008</w:t></w:r></w:p><w:tbl><w:tblPr><w:jc w:val="center"/><w:tblBorders></w:tblBorders></w:tblPr><w:tblGrid><w:gridCol w:w="1262"/><w:gridCol w:w="1596"/><w:gridCol w:w="2390"/><w:gridCol w:w="1457"/></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AÑO 2008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VENTAS</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CTAS POR COBRAR</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 xml:space="preserve">ROTACION </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Ene-08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3.227.502,08</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2.095.508,42</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1,54020001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Feb-08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4.121.186,66</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2.059.530,14</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2,00103246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Mar-08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4.873.304,92</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2.329.128,96</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2,09232937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Abr-08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5.777.114,45</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2.452.348,60</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2,35574765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May-08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6.473.441,18</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2.680.532,64</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2,41498316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Jun-08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7.149.774,18</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2.667.621,62</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2,68020552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Jul-08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7.980.758,14</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2.745.968,82</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2,90635425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Ago-08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8.797.090,32</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3.241.304,11</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2,71405892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Sept-08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10.694.694,47</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3.221.207,86</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3,32008828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Oct-08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10.388.688,74</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1.565.984,99</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6,63396444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Nov-08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489.659,64</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1.559.455,29</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0,31399402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Dic-08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1.056.413,45</w:t></w:r></w:p></w:tc><w:tc><w:tcPr><w:tcW w:type="dxa" w:w="2390"/><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1.640.046,26</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0,64413637</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31-12-2008 y Estado de Ganancias y Pérdidas del 01-01-2008 al 31-12-2008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N°58 Rotación de Cuentas Por Cobrar 2009</w:t></w:r></w:p><w:tbl><w:tblPr><w:jc w:val="center"/><w:tblBorders></w:tblBorders></w:tblPr><w:tblGrid><w:gridCol w:w="1262"/><w:gridCol w:w="1476"/><w:gridCol w:w="2390"/><w:gridCol w:w="145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AÑO 2009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VENTAS</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CTAS POR COBRAR</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Ene-09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1.604.125,24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1.286.838,88</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1,24656262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Feb-09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2.097.211,53</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1.313.691,46</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1,59642625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Mar-09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2.820.770,57</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1.472.754,50</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1,91530263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Abr-09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3.405.427,79</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1.534.931,16</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2,21861923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May-09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3.984.817,04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1.574.795,63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2,5303709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Jun-09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4.739.604,92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1.731.703,68</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2,7369607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Jul-09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6.283.638,03</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1.831.479,71</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3,43090781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Ago-09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6.254.990,95</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1.603.690,28</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3,90037342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Sept-09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7.084.216,07</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668.953,14</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10,5900035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Oct-09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8.005.726,80</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2.391.983,60</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3,3468987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Nov-09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846.473,05</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2.208.884,70</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0,38321287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Dic-09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1.767.035,69</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2.426.054,25</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0,72835786</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31-12-2009 y Estado de Ganancias y Pérdidas del 01-01-2009 al 31-12-2009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N°59 Rotación de Cuentas Por Cobrar 2010</w:t></w:r></w:p><w:tbl><w:tblPr><w:jc w:val="center"/><w:tblBorders></w:tblBorders></w:tblPr><w:tblGrid><w:gridCol w:w="1262"/><w:gridCol w:w="1596"/><w:gridCol w:w="2390"/><w:gridCol w:w="145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AÑO 2010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VENTAS</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CTAS POR COBRAR</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Ene-10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2.485.351,66</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2.067.281,30</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1,20223197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Feb-10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3.395.363,82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2.357.784,42</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1,44006542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Mar-10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4.557.648,44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2.417.297,53</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1,88543131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Abr-10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5.722.525,12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2.417.297,53</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2,36732345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May-10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6.857.880,97</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2.465.675,64</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2,78133947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Jun-10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8.291.656,38</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3.082.991,18</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2,6894843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Jul-10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9.470.557,33</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3.276.271,93</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2,89065057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Ago-10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10.358.288,64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3.100.757,34</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3,34056732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Sept-10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11.659.688,47</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2.743.062,92</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4,25060919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Oct-10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13.065.430,42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2.012.533,09</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6,4920326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Nov-10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1.617.593,44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2.300.636,83</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0,70310682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Dic-10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3.061.215,09</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1.631.388,11</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1,87644808</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31-12-2010 y Estado de Ganancias y Pérdidas del 01-01-2010 al 31-12-2010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N°60 Rotación de Cuentas Por Cobrar 2011</w:t></w:r></w:p><w:tbl><w:tblPr><w:jc w:val="center"/><w:tblBorders></w:tblBorders></w:tblPr><w:tblGrid><w:gridCol w:w="1262"/><w:gridCol w:w="1476"/><w:gridCol w:w="2390"/><w:gridCol w:w="145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CTAS POR COBRAR</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1.300.328,59</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2.627.476,07</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0,49489645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1.518.989,31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2.797.479,15</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0,54298503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2.234.613,03</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3.218.989,88</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0,69419697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803.053,80</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2.473.487,11</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0,32466464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1.745.344,68</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2.789.435,94</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0,62569807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1.658.541,80</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2.913.011,34</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0,56935645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1.653.785,89</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3.313.128,94</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0,49916134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1.865.872,25</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2.513.250,73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0,74241389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2.010.614,93</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2.496.692,70</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0,80531133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2.061.312,20</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2.584.088,87</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0,79769401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2.181.945,15</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2.733.696,04</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0,7981667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2.309.637,84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2.188.123,99</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1,05553335</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31-12-2011 y Estado de Ganancias y Pérdidas del 01-01-2011 al 31-12-2011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N°61 Rotación de Cuentas Por Cobrar 2012</w:t></w:r></w:p><w:tbl><w:tblPr><w:jc w:val="center"/><w:tblBorders></w:tblBorders></w:tblPr><w:tblGrid><w:gridCol w:w="1262"/><w:gridCol w:w="1476"/><w:gridCol w:w="2390"/><w:gridCol w:w="145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CTAS POR COBRAR</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1.854.644,82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2.937.649,83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0,63133625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2.078.982,00</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3.338.512,69</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0,622727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2.214.834,39</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3.150.255,99</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0,70306489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1.784.676,85</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3.313.878,56</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0,53854624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2.412.582,40</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3.380.894,81</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0,71359286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2.609.499,49</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3.676.728,33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0,7097341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2.585.299,91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3.700.906,15</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0,69855862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2.344.360,77</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3.567.850,23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0,65707937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2.107.064,41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3.366.825,12</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0,62583126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2.700.768,88</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2.982.657,22</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0,90549087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2.737.720,94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1.747.165,44</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1,56695003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2.576.500,42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1.358.126,23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1,89709937</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31-12-2012 y Estado de Ganancias y Pérdidas del 01-01-2012 al 31-12-2012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N°62 Rotación de Cuentas Por Cobrar 2013</w:t></w:r></w:p><w:tbl><w:tblPr><w:jc w:val="center"/><w:tblBorders></w:tblBorders></w:tblPr><w:tblGrid><w:gridCol w:w="1262"/><w:gridCol w:w="1476"/><w:gridCol w:w="2390"/><w:gridCol w:w="145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CTAS POR COBRAR</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2.618.711,07</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1.925.794,32</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1,35980828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2.280.917,84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1.907.594,90</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1,19570347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2.280.739,59</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1.070.948,48</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2,12964455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3.018.765,01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1.572.570,60</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1,91963719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3.013.029,55</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1.427.944,84</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2,11004618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3.120.558,55</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1.325.061,41</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2,35502937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3.231.925,04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1.229.590,74</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2,62845591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3.347.265,98</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1.140.998,73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2,93362815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3.466.723,21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1.058.789,77</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3,27423188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3.590.443,63</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982.503,97</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3,6543808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3.718.579,38</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911.714,55</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4,07866625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3.851.288,04</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846.025,52</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4,55221261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31-12-2013 y Estado de Ganancias y Pérdidas del 01-01-2013 al 31-12-2013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N°63 Rotación de Cuentas Por Cobrar 2014</w:t></w:r></w:p><w:tbl><w:tblPr><w:jc w:val="center"/><w:tblBorders></w:tblBorders></w:tblPr><w:tblGrid><w:gridCol w:w="1262"/><w:gridCol w:w="1476"/><w:gridCol w:w="2390"/><w:gridCol w:w="145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CTAS POR COBRAR</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3.988.732,81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785.069,38</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5,08073923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4.131.082,71</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728.505,13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5,67062951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4.278.512,79</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676.016,34</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6,32900796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4.431.204,35</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627.309,36</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7,06382628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4.589.345,17</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582.111,72</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7,88395938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4.753.129,72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540.170,57</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8,7993126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4.922.759,42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501.251,28</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9,82094129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5.098.442,85</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465.136,13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10,9611844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5.280.396,08</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431.623,07</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12,2338134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5.468.842,86</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400.524,63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13,6541987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5.664.014,92</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371.666,83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15,2394954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5.866.152,29</w:t></w:r></w:p></w:tc><w:tc><w:tcPr><w:tcW w:type="dxa" w:w="239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344.888,23</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17,0088502</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y Estado de Ganancias y Pérdidas del 01-01-2014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N°64 Rotación de Activo Fijo 2008</w:t></w:r></w:p><w:tbl><w:tblPr><w:jc w:val="center"/><w:tblBorders></w:tblBorders></w:tblPr><w:tblGrid><w:gridCol w:w="1262"/><w:gridCol w:w="1596"/><w:gridCol w:w="1477"/><w:gridCol w:w="1476"/></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AÑO 2008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VENTAS</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AF</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ROTACION</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Ene-08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3.227.502,08</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1.503.609,91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2,146502269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Feb-08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4.121.186,66</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1.495.622,13</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2,755499923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Mar-08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4.873.304,92</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1.501.765,38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3,245050784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Abr-08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5.777.114,45</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1.490.158,63</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3,876845282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May-08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6.473.441,18</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1.478.551,88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4,378230667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Jun-08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7.149.774,18</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1.520.425,72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4,702481739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Jul-08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7.980.758,14</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1.518.471,27</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5,25578475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Ago-08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8.797.090,32</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1.527.649,92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5,758577413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Sept-08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10.694.694,47</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1.515.021,74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7,059102977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Oct-08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10.388.688,74</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1.506.743,56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6,894795518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Nov-08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489.659,64</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1.493.923,39</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0,32776757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Dic-08</w:t></w:r></w:p></w:tc><w:tc><w:tcPr><w:tcW w:type="dxa" w:w="15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1.056.413,45</w:t></w:r></w:p></w:tc><w:tc><w:tcPr><w:tcW w:type="dxa" w:w="14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1.486.019,40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0,71090152</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31-12-2008 y Estado de Ganancias y Pérdidas del 01-01-2008 al 31-12-2008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N°65 Rotación de Activo Fijo 2009</w:t></w:r></w:p><w:tbl><w:tblPr><w:jc w:val="center"/><w:tblBorders></w:tblBorders></w:tblPr><w:tblGrid><w:gridCol w:w="1263"/><w:gridCol w:w="1475"/><w:gridCol w:w="1476"/><w:gridCol w:w="1477"/></w:tblGrid><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AF</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1.604.125,24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1.476.887,99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1,086152268</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2.097.211,53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1.464.114,38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1,432409625</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2.820.770,57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1.455.066,07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1,938585902</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3.405.427,79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1.484.731,85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2,293631534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3.984.817,04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1.480.676,15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2,691214443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4.739.604,92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1.474.788,99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3,213751223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6.283.638,03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1.183.510,84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5,309320219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6.254.990,95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1.785.848,52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3,502531642</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7.084.216,07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1.999.655,03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3,542719101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8.005.726,80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1.999.655,03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4,003553953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846.473,05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2.399.324,46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0,352796408</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Dic-09</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1.767.035,69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2.453.692,14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0,720153788</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31-12-2009 y Estado de Ganancias y Pérdidas del 01-01-2009 al 31-12-2009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N°66 Rotación de Activo Fijo 2010</w:t></w:r></w:p><w:tbl><w:tblPr><w:jc w:val="center"/><w:tblBorders></w:tblBorders></w:tblPr><w:tblGrid><w:gridCol w:w="1262"/><w:gridCol w:w="1596"/><w:gridCol w:w="1477"/><w:gridCol w:w="1476"/></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AF</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2.485.351,66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3.187.130,27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0,779808621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3.395.363,82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3.173.257,73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1,069993082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4.557.648,44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3.164.662,31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1,440168964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5.722.525,12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3.164.662,31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1,808257741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6.857.880,97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3.558.987,22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1,926919246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8.291.656,38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3.594.251,83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2,306921377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9.470.557,33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3.580.443,96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2,645079056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10.358.288,64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3.574.682,28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2,897680921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11.659.688,47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3.567.943,50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3,267901655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13.065.430,42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4.431.185,24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2,948518221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1.617.593,44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4.550.383,11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0,35548511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3.061.215,09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4.517.428,27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0,677645533</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31-12-2010 y Estado de Ganancias y Pérdidas del 01-01-2010 al 31-12-2010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N°67 Rotación de Activo Fijo 2011</w:t></w:r></w:p><w:tbl><w:tblPr><w:jc w:val="center"/><w:tblBorders></w:tblBorders></w:tblPr><w:tblGrid><w:gridCol w:w="1263"/><w:gridCol w:w="1475"/><w:gridCol w:w="1476"/><w:gridCol w:w="1477"/></w:tblGrid><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AF</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1.300.328,59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2.674.235,65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0,486243084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1.518.989,31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2.636.951,38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0,576039938</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2.234.613,03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2.606.960,86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0,857171684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803.053,80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2.586.033,56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0,310534949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1.745.344,68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2.640.966,13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0,660873557</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1.658.541,80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2.603.681,86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0,636998639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1.653.785,89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2.751.068,50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0,601143116</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1.865.872,25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2.751.068,50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0,678235475</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2.010.614,93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2.725.599,84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0,73767796</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2.061.312,20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2.474.707,78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0,83295176</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2.181.945,15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2.677.275,50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0,814987159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Dic-11</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2.309.637,84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2.677.275,50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0,862682171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31-12-2011 y Estado de Ganancias y Pérdidas del 01-01-2011 al 31-12-2011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N°68 Rotación de Activo Fijo 2012</w:t></w:r></w:p><w:tbl><w:tblPr><w:jc w:val="center"/><w:tblBorders></w:tblBorders></w:tblPr><w:tblGrid><w:gridCol w:w="1263"/><w:gridCol w:w="1475"/><w:gridCol w:w="1476"/><w:gridCol w:w="1477"/></w:tblGrid><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AF</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1.854.644,82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2.662.600,80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0,696553843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2.078.982,00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2.654.416,53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0,78321619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2.214.834,39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2.587.416,53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0,856002257</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1.784.676,85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2.564.932,26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0,695798824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2.412.582,40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2.758.679,22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0,874542565</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2.609.499,49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4.081.393,12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0,639364897</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2.585.299,91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4.458.206,36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0,579896869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2.344.360,77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4.419.375,66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0,530473295</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2.107.064,41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4.368.648,20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0,482314966</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2.700.768,88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3.919.912,71</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0,688986995</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2.737.720,94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3.863.135,82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0,708678407</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Dic-12</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2.576.500,42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3.802.975,00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0,677496018</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31-12-2012 y Estado de Ganancias y Pérdidas del 01-01-2012 al 31-12-2012 del Frigorífico Industrial Carabobo</w:t></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N°69 Rotación de Activo Fijo 2013</w:t></w:r></w:p><w:tbl><w:tblPr><w:jc w:val="center"/><w:tblBorders></w:tblBorders></w:tblPr><w:tblGrid><w:gridCol w:w="1263"/><w:gridCol w:w="1475"/><w:gridCol w:w="1476"/><w:gridCol w:w="1477"/></w:tblGrid><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AF</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2.618.711,07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3.751.459,18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0,69805133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2.280.917,84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3.691.298,36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0,617917496</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2.280.739,59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4.227.778,28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0,539465279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3.018.765,01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4.167.304,05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0,724392791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3.013.029,55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4.191.754,14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0,718799207</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3.120.558,55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4.309.676,57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0,724081842</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3.231.925,04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4.430.916,39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0,729403301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3.347.265,98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4.555.566,93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0,734763869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3.466.723,21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4.683.724,14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0,740163833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3.590.443,63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4.815.486,66</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0,745603483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3.718.579,38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4.950.955,94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0,75108311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Dic-13</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3.851.288,04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5.090.236,23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0,756603008</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31-12-2013 y Estado de Ganancias y Pérdidas del 01-01-2013 al 31-12-2013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N°70 Rotación de Activo Fijo 2014</w:t></w:r></w:p><w:tbl><w:tblPr><w:jc w:val="center"/><w:tblBorders></w:tblBorders></w:tblPr><w:tblGrid><w:gridCol w:w="1263"/><w:gridCol w:w="1475"/><w:gridCol w:w="1476"/><w:gridCol w:w="1477"/></w:tblGrid><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AF</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3.988.732,81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5.233.434,75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0,762163474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4.131.082,71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5.380.661,74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0,767764804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4.278.512,79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5.532.030,52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0,7734073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4.431.204,35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5.687.657,60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0,779091265</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4.589.345,17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5.847.662,78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0,784817002</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4.753.129,72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6.012.169,23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0,790584819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4.922.759,42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6.181.303,58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0,796395025</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5.098.442,85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6.355.196,01</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0,802247932</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5.280.396,08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6.533.980,38</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0,808143853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5.468.842,86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6.717.794,32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0,814083105</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5.664.014,92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6.906.779,31</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0,820066006</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Dic-14</w:t></w:r></w:p></w:tc><w:tc><w:tcPr><w:tcW w:type="dxa" w:w="14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5.866.152,29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7.101.080,82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0,826092877</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y Estado de Ganancias y Pérdidas del 01-01-2014 al 31-12-2014 del Frigorífico Industrial Carabobo</w:t></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N°71 Rotación de Capital de Trabajo 2008</w:t></w:r></w:p><w:tbl><w:tblPr><w:jc w:val="center"/><w:tblBorders></w:tblBorders></w:tblPr><w:tblGrid><w:gridCol w:w="1262"/><w:gridCol w:w="1596"/><w:gridCol w:w="1476"/><w:gridCol w:w="1457"/></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AÑO 2008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VENTAS</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CT</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ROTACION</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Ene-08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3.227.502,08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1.888.148,17</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1,70934789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Feb-08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4.121.186,66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2.345.753,05</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1,75687149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Mar-08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4.873.304,92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2.581.228,15</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1,88797915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Abr-08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5.777.114,45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2.945.622,04</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1,96125449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May-08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6.473.441,18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3.088.237,01</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2,09616074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Jun-08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7.149.774,18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2.951.056,28</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2,42278476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Jul-08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7.980.758,14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2.974.232,03</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2,68330045</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Ago-08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8.797.090,32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3.038.321,67</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2,8953782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Sept-08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10.694.694,47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3.252.586,81</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3,28805812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Oct-08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10.388.688,74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2.521.106,57</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4,12068608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Nov-08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489.659,64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2.456.944,68</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0,19929616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Dic-08</w:t></w:r></w:p></w:tc><w:tc><w:tcPr><w:tcW w:type="dxa" w:w="159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1.056.413,45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2.537.340,74</w:t></w:r></w:p></w:tc><w:tc><w:tcPr><w:tcW w:type="dxa" w:w="1457"/><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0,4163467</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01-01-2008 al 31-12-2008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N°72 Rotación de Capital de Trabajo 2009</w:t></w:r></w:p><w:tbl><w:tblPr><w:jc w:val="center"/><w:tblBorders></w:tblBorders></w:tblPr><w:tblGrid><w:gridCol w:w="1262"/><w:gridCol w:w="1476"/><w:gridCol w:w="1477"/><w:gridCol w:w="145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AÑO 2009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VENTAS</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CT</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Ene-09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1.604.125,24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2.654.949,04</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0,60420189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Feb-09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2.097.211,53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2.781.148,60</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0,75408108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Mar-09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2.820.770,57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2.982.387,27</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0,94580962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Abr-09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3.405.427,79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2.976.567,42</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1,14407884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May-09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3.984.817,04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3.075.968,10</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1,29546761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Jun-09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4.739.604,92</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3.228.143,46</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1,46821384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Jul-09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6.283.638,03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3.327.058,49</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1,8886467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Ago-09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6.254.990,95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3.078.058,25</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2,03212235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Sept-09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7.084.216,07</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1.712.037,37</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4,13788635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Oct-09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8.005.726,80</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2.781.319,37</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2,87839178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Nov-09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846.473,05</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2.455.364,75</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0,34474432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Dic-09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1.767.035,69</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2.450.691,98</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0,72103541</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01-01-2009 al 31-12-2009 del Frigorífico Industrial Carabobo</w:t></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N°73 Rotación de Capital de Trabajo 2010</w:t></w:r></w:p><w:tbl><w:tblPr><w:jc w:val="center"/><w:tblBorders></w:tblBorders></w:tblPr><w:tblGrid><w:gridCol w:w="1262"/><w:gridCol w:w="1595"/><w:gridCol w:w="1556"/><w:gridCol w:w="1458"/></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AÑO 2010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VENTAS</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CT</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Ene-10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2.485.351,66</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1.816.872,84</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1,36792824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Feb-10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3.395.363,82</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1.739.337,49</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1,95210179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Mar-10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4.557.648,44</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1.779.446,91</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2,5612725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Abr-10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5.722.525,12</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1.758.741,78</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3,25376083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May-10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6.857.880,97</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1.617.129,85</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4,24077323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Jun-10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8.291.656,38</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916.492,15</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9,04716574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Jul-10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9.470.557,33</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1.165.374,91</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8,12661852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Ago-10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10.358.288,64</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659.678,23</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15,7020319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Sept-10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11.659.688,47</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741.958,54</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15,7147439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Oct-10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13.065.430,42</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-442.450,22</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-29,5297184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Nov-10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1.617.593,44</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-588.870,11</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-2,74694438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Dic-10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3.061.215,09</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-1.462.445,57</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-2,09321643</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01-01-2010 al 31-12-2010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N°74 Rotación de Capital de Trabajo 2011</w:t></w:r></w:p><w:tbl><w:tblPr><w:jc w:val="center"/><w:tblBorders></w:tblBorders></w:tblPr><w:tblGrid><w:gridCol w:w="1262"/><w:gridCol w:w="1476"/><w:gridCol w:w="2035"/><w:gridCol w:w="145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2011</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203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w:t></w:r></w:p></w:tc><w:tc><w:tcPr><w:tcW w:type="dxa" w:w="145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1.300.328,59</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1.569.387,64</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-0,82855794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1.518.989,31</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1.398.043,51</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-1,08651076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2.234.613,03</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717.999,99</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-3,11227446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803.053,80</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1.167.833,37</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-0,68764416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1.745.344,68</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1.157.873,89</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-1,50737027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1.658.541,80</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1.293.460,13</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-1,28225197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1.653.785,89</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1.530.055,09</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-1,08086689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1.865.872,25</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987.437,46</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-1,88961056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2.010.614,93</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725.510,96</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-2,77130883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2.061.312,20</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354.287,79</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-5,81818583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2.181.945,15</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496.182,54</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-4,3974646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2.309.637,84</w:t></w:r></w:p></w:tc><w:tc><w:tcPr><w:tcW w:type="dxa" w:w="203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413.807,04</w:t></w:r></w:p></w:tc><w:tc><w:tcPr><w:tcW w:type="dxa" w:w="14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-5,5814368</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01-01-2011 al 31-12-2011 del Frigorífico Industrial Carabobo</w:t></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N°75 Rotación de Capital de Trabajo 2012</w:t></w:r></w:p><w:tbl><w:tblPr><w:jc w:val="center"/><w:tblBorders></w:tblBorders></w:tblPr><w:tblGrid><w:gridCol w:w="1349"/><w:gridCol w:w="1617"/><w:gridCol w:w="2277"/><w:gridCol w:w="1701"/></w:tblGrid><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VENTAS</w:t></w:r></w:p></w:tc><w:tc><w:tcPr><w:tcW w:type="dxa" w:w="22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CT</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1.854.644,82</w:t></w:r></w:p></w:tc><w:tc><w:tcPr><w:tcW w:type="dxa" w:w="22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211.553,97</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-8,76676916</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2.078.982,00</w:t></w:r></w:p></w:tc><w:tc><w:tcPr><w:tcW w:type="dxa" w:w="22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68.828,13</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-30,2054117</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2.214.834,39</w:t></w:r></w:p></w:tc><w:tc><w:tcPr><w:tcW w:type="dxa" w:w="2277"/><w:tcBorders></w:tcBorders><w:shd w:fill="auto" w:val="clear"/><w:tcMar><w:top w:type="dxa" w:w="0"/><w:left w:type="dxa" w:w="108"/><w:bottom w:type="dxa" w:w="0"/><w:right w:type="dxa" w:w="108"/></w:tcMar><w:vAlign w:val="center"/></w:tcPr><w:p><w:pPr><w:pStyle w:val="style0"/><w:spacing w:after="0" w:before="0" w:line="100" w:lineRule="atLeast"/><w:jc w:val="right"/></w:pPr><w:r><w:rPr><w:rFonts w:ascii="Times New Roman" w:hAnsi="Times New Roman"/><w:color w:val="000000"/><w:sz w:val="24"/><w:szCs w:val="24"/><w:lang w:val="es-VE"/></w:rPr><w:t>46.398,89</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47,7346417</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1.784.676,85</w:t></w:r></w:p></w:tc><w:tc><w:tcPr><w:tcW w:type="dxa" w:w="2277"/><w:tcBorders></w:tcBorders><w:shd w:fill="auto" w:val="clear"/><w:tcMar><w:top w:type="dxa" w:w="0"/><w:left w:type="dxa" w:w="108"/><w:bottom w:type="dxa" w:w="0"/><w:right w:type="dxa" w:w="108"/></w:tcMar><w:vAlign w:val="center"/></w:tcPr><w:p><w:pPr><w:pStyle w:val="style0"/><w:spacing w:after="0" w:before="0" w:line="100" w:lineRule="atLeast"/><w:jc w:val="right"/></w:pPr><w:r><w:rPr><w:rFonts w:ascii="Times New Roman" w:hAnsi="Times New Roman"/><w:color w:val="000000"/><w:sz w:val="24"/><w:szCs w:val="24"/><w:lang w:val="es-VE"/></w:rPr><w:t>91.513,55</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19,5017771</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2.412.582,40</w:t></w:r></w:p></w:tc><w:tc><w:tcPr><w:tcW w:type="dxa" w:w="2277"/><w:tcBorders></w:tcBorders><w:shd w:fill="auto" w:val="clear"/><w:tcMar><w:top w:type="dxa" w:w="0"/><w:left w:type="dxa" w:w="108"/><w:bottom w:type="dxa" w:w="0"/><w:right w:type="dxa" w:w="108"/></w:tcMar><w:vAlign w:val="center"/></w:tcPr><w:p><w:pPr><w:pStyle w:val="style0"/><w:spacing w:after="0" w:before="0" w:line="100" w:lineRule="atLeast"/><w:jc w:val="right"/></w:pPr><w:r><w:rPr><w:rFonts w:ascii="Times New Roman" w:hAnsi="Times New Roman"/><w:color w:val="000000"/><w:sz w:val="24"/><w:szCs w:val="24"/><w:lang w:val="es-VE"/></w:rPr><w:t>157.165,93</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15,3505432</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2.609.499,49</w:t></w:r></w:p></w:tc><w:tc><w:tcPr><w:tcW w:type="dxa" w:w="2277"/><w:tcBorders></w:tcBorders><w:shd w:fill="auto" w:val="clear"/><w:tcMar><w:top w:type="dxa" w:w="0"/><w:left w:type="dxa" w:w="108"/><w:bottom w:type="dxa" w:w="0"/><w:right w:type="dxa" w:w="108"/></w:tcMar><w:vAlign w:val="center"/></w:tcPr><w:p><w:pPr><w:pStyle w:val="style0"/><w:spacing w:after="0" w:before="0" w:line="100" w:lineRule="atLeast"/><w:jc w:val="right"/></w:pPr><w:r><w:rPr><w:rFonts w:ascii="Times New Roman" w:hAnsi="Times New Roman"/><w:color w:val="000000"/><w:sz w:val="24"/><w:szCs w:val="24"/><w:lang w:val="es-VE"/></w:rPr><w:t>32.253,71</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80,9054056</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2.585.299,91</w:t></w:r></w:p></w:tc><w:tc><w:tcPr><w:tcW w:type="dxa" w:w="2277"/><w:tcBorders></w:tcBorders><w:shd w:fill="auto" w:val="clear"/><w:tcMar><w:top w:type="dxa" w:w="0"/><w:left w:type="dxa" w:w="108"/><w:bottom w:type="dxa" w:w="0"/><w:right w:type="dxa" w:w="108"/></w:tcMar><w:vAlign w:val="center"/></w:tcPr><w:p><w:pPr><w:pStyle w:val="style0"/><w:spacing w:after="0" w:before="0" w:line="100" w:lineRule="atLeast"/><w:jc w:val="right"/></w:pPr><w:r><w:rPr><w:rFonts w:ascii="Times New Roman" w:hAnsi="Times New Roman"/><w:color w:val="000000"/><w:sz w:val="24"/><w:szCs w:val="24"/><w:lang w:val="es-VE"/></w:rPr><w:t>322.930,84</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8,00573866</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2.344.360,77</w:t></w:r></w:p></w:tc><w:tc><w:tcPr><w:tcW w:type="dxa" w:w="22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206.329,04</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-11,3622434</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2.107.064,41</w:t></w:r></w:p></w:tc><w:tc><w:tcPr><w:tcW w:type="dxa" w:w="22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211.091,38</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-9,98176434</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2.700.768,88</w:t></w:r></w:p></w:tc><w:tc><w:tcPr><w:tcW w:type="dxa" w:w="22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490.203,44</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-5,50948578</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2.737.720,94</w:t></w:r></w:p></w:tc><w:tc><w:tcPr><w:tcW w:type="dxa" w:w="22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327.019,72</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-8,37173043</w:t></w:r></w:p></w:tc></w:tr><w:tr><w:trPr><w:trHeight w:hRule="atLeast" w:val="300"/><w:cantSplit w:val="false"/></w:trPr><w:tc><w:tcPr><w:tcW w:type="dxa" w:w="134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Dic-12</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2.576.500,42</w:t></w:r></w:p></w:tc><w:tc><w:tcPr><w:tcW w:type="dxa" w:w="22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993.990,10</w:t></w:r></w:p></w:tc><w:tc><w:tcPr><w:tcW w:type="dxa" w:w="1701"/><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-2,59207855</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01-01-2012 al 31-12-2012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N°76 Rotación de Capital de Trabajo 2013</w:t></w:r></w:p><w:tbl><w:tblPr><w:jc w:val="center"/><w:tblBorders></w:tblBorders></w:tblPr><w:tblGrid><w:gridCol w:w="1262"/><w:gridCol w:w="1477"/><w:gridCol w:w="1556"/><w:gridCol w:w="145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2.618.711,07</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-722.468,06</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-3,62467383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2.280.917,84</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-1.356.134,58</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-1,68192587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2.280.739,59</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-2.350.184,33</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-0,97045136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3.018.765,01</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-2.103.368,08</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-1,4352053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3.013.029,55</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-1.976.421,62</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-1,52448724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3.120.558,55</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-2.285.602,92</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-1,36531088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3.231.925,04</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-2.593.226,62</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-1,24629487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3.347.265,98</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-2.899.374,54</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-1,15447864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3.466.723,21</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-3.204.127,65</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-1,0819554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3.590.443,63</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-3.507.566,01</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-1,02362824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3.718.579,38</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-3.809.768,87</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-0,9760643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Dic-13</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3.851.288,04</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-4.110.814,62</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-0,93686736</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01-01-2013 al 31-12-2013 del Frigorífico Industrial Carabobo</w:t></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N°77 Rotación de Capital de Trabajo 2014</w:t></w:r></w:p><w:tbl><w:tblPr><w:jc w:val="center"/><w:tblBorders></w:tblBorders></w:tblPr><w:tblGrid><w:gridCol w:w="1262"/><w:gridCol w:w="1477"/><w:gridCol w:w="1556"/><w:gridCol w:w="145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ROTACION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3.988.732,81</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-4.410.780,88</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-0,90431443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4.131.082,71</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-4.709.744,50</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-0,8771352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4.278.512,79</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-5.007.781,56</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-0,85437289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4.431.204,35</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-5.304.967,41</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-0,83529342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4.589.345,17</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-5.601.376,72</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-0,8193245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4.753.129,72</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-5.897.083,44</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-0,80601365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4.922.759,42</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-6.192.160,89</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-0,79499863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5.098.442,85</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-6.486.681,73</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-0,78598628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5.280.396,08</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-6.780.718,01</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-0,77873701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5.468.842,86</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-7.074.341,17</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-0,77305331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5.664.014,92</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-7.367.622,08</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-0,7687711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Dic-14</w:t></w:r></w:p></w:tc><w:tc><w:tcPr><w:tcW w:type="dxa" w:w="147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5.866.152,29</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-7.660.631,05</w:t></w:r></w:p></w:tc><w:tc><w:tcPr><w:tcW w:type="dxa" w:w="14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-0,76575314</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01-01-2014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N°78 Margen de Utilidad en Operaciones 2008</w:t></w:r></w:p><w:tbl><w:tblPr><w:jc w:val="center"/><w:tblBorders></w:tblBorders></w:tblPr><w:tblGrid><w:gridCol w:w="1417"/><w:gridCol w:w="3142"/><w:gridCol w:w="1819"/><w:gridCol w:w="2459"/></w:tblGrid><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AÑO 2008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UTILIDAD EN OPERACIONES</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VENTAS</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eastAsia="es-VE" w:val="es-VE"/></w:rPr><w:t>MARGEN DE UTILIDAD</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Ene-08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1.910.409,05</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3.227.502,08</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0,59</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Feb-08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2.473.900,93</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4.121.186,66</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0,60</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Mar-08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2.823.189,39</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4.873.304,92</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0,58</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Abr-08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3.245.918,41</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5.777.114,45</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0,56</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May-08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3.492.490,16</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6.473.441,18</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0,54</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Jun-08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3.513.760,34</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7.149.774,18</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0,49</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Jul-08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3.648.322,05</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7.980.758,14</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0,46</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Ago-08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3.833.954,46</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8.797.090,32</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0,44</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Sept-08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4.316.494,15</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10.694.694,47</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0,40</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Oct-08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4.518.260,79</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10.388.688,74</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0,43</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Nov-08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33.587,20</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489.659,64</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0,07</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eastAsia="es-VE" w:val="es-VE"/></w:rPr><w:t>Dic-08</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232.955,43</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1.056.413,45</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0,22</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01-01-2008 al 31-12-2008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N°79 Margen de Utilidad en Operaciones 2009</w:t></w:r></w:p><w:tbl><w:tblPr><w:jc w:val="center"/><w:tblBorders></w:tblBorders></w:tblPr><w:tblGrid><w:gridCol w:w="1417"/><w:gridCol w:w="3142"/><w:gridCol w:w="1819"/><w:gridCol w:w="2459"/></w:tblGrid><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AÑO 2009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UTILIDAD EN OPERACIONES</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VENTAS</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MARGEN DE UTILIDAD</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Ene-09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448.111,19</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1.604.125,24</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0,28</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Feb-09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648.318,81</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2.097.211,53</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0,31</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Mar-09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950.250,99</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2.820.770,57</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0,34</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Abr-09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1.082.088,75</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3.405.427,79</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0,32</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May-09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1.276.515,09</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3.984.817,04</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0,32</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Jun-09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1.561.404,80</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4.739.604,92</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0,33</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Jul-09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2.207.934,06</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6.283.638,03</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0,35</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Ago-09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2.035.010,24</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6.254.990,95</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0,33</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Sept-09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2.236.608,06</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7.084.216,07</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0,32</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Oct-09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2.359.563,52</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8.005.726,80</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0,29</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Nov-09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273.338,87</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846.473,05</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0,32</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Dic-09</w:t></w:r></w:p></w:tc><w:tc><w:tcPr><w:tcW w:type="dxa" w:w="314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587.376,22</w:t></w:r></w:p></w:tc><w:tc><w:tcPr><w:tcW w:type="dxa" w:w="18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1.767.035,69</w:t></w:r></w:p></w:tc><w:tc><w:tcPr><w:tcW w:type="dxa" w:w="245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0,33</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01-01-2009 al 31-12-2009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N°80 Margen de Utilidad en Operaciones 2010</w:t></w:r></w:p><w:tbl><w:tblPr><w:jc w:val="left"/><w:tblInd w:type="dxa" w:w="-108"/><w:tblBorders></w:tblBorders></w:tblPr><w:tblGrid><w:gridCol w:w="1417"/><w:gridCol w:w="2977"/><w:gridCol w:w="2408"/><w:gridCol w:w="1986"/></w:tblGrid><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AÑO 2010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UTILIDAD EN OPERACIONES</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VENTAS</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MARGEN DE UTILIDAD</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Ene-10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807.418,93</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2.485.351,66</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0,32</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Feb-10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931.765,07</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3.395.363,82</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0,27</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Mar-10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1.245.500,15</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4.557.648,44</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0,27</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Abr-10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1.674.026,02</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5.722.525,12</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0,29</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May-10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2.026.010,43</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6.857.880,97</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0,30</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Jun-10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1.653.436,19</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8.291.656,38</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0,20</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Jul-10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2.075.048,76</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9.470.557,33</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0,22</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Ago-10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1.800.129,70</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10.358.288,64</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0,17</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Sept-10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2.120.796,21</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11.659.688,47</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0,18</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Oct-10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2.258.709,43</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13.065.430,42</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0,17</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Nov-10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276.504,10</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1.617.593,44</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0,17</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Dic-10</w:t></w:r></w:p></w:tc><w:tc><w:tcPr><w:tcW w:type="dxa" w:w="297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-75.347,76</w:t></w:r></w:p></w:tc><w:tc><w:tcPr><w:tcW w:type="dxa" w:w="240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3.061.215,09</w:t></w:r></w:p></w:tc><w:tc><w:tcPr><w:tcW w:type="dxa" w:w="198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-0,02</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01-01-2010 al 31-12-2010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N°81 Margen de Utilidad en Operaciones 2011</w:t></w:r></w:p><w:tbl><w:tblPr><w:jc w:val="left"/><w:tblInd w:type="dxa" w:w="-108"/><w:tblBorders></w:tblBorders></w:tblPr><w:tblGrid><w:gridCol w:w="1417"/><w:gridCol w:w="3343"/><w:gridCol w:w="1617"/><w:gridCol w:w="2460"/></w:tblGrid><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UTILIDAD EN OPERACIONES</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VENTAS</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MARGEN DE UTILIDAD</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- 470.382,44</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1.300.328,59</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-0,36</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134.059,86</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1.518.989,31</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0,09</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650.053,00</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2.234.613,03</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0,29</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- 470.760,68</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803.053,80</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-0,59</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64.892,05</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1.745.344,68</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-172.870,51</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1.658.541,80</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-0,10</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80.791,68</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1.653.785,89</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542.617,63</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1.865.872,25</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0,29</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236.457,84</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2.010.614,93</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0,12</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120.331,11</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2.061.312,20</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60.672,97</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2.199.547,26</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Dic-11</w:t></w:r></w:p></w:tc><w:tc><w:tcPr><w:tcW w:type="dxa" w:w="334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82.375,50</w:t></w:r></w:p></w:tc><w:tc><w:tcPr><w:tcW w:type="dxa" w:w="16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2.067.950,85</w:t></w:r></w:p></w:tc><w:tc><w:tcPr><w:tcW w:type="dxa" w:w="246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01-01-2011 al 31-12-2011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N°82 Margen de Utilidad en Operaciones 2012</w:t></w:r></w:p><w:tbl><w:tblPr><w:jc w:val="center"/><w:tblBorders></w:tblBorders></w:tblPr><w:tblGrid><w:gridCol w:w="1417"/><w:gridCol w:w="3369"/><w:gridCol w:w="1732"/><w:gridCol w:w="2319"/></w:tblGrid><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UTILIDAD EN OPERACIONES</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VENTAS</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MARGEN DE UTILIDAD</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187.578,37</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1.854.644,82</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0,10</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134.541,57</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2.078.982,00</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0,06</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48.227,02</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2.214.834,39</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22.630,39</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1.784.676,85</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259.399,34</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2.412.582,40</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0,11</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-152.198,32</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2.609.499,49</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-0,06</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673.115,37</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2.585.299,91</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0,26</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-562.465,58</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2.344.360,77</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-0,24</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-49.864,80</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2.107.064,41</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-722.222,55</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2.700.768,88</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-0,27</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112.031,83</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2.737.720,94</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Dic-12</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-721.506,20</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2.576.500,42</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-0,28</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01-01-2012 al 31-12-2012 del Frigorífico Industrial Carabobo</w:t></w:r></w:p><w:p><w:pPr><w:pStyle w:val="style0"/><w:tabs><w:tab w:leader="none" w:pos="5160" w:val="left"/></w:tabs><w:spacing w:after="160" w:before="0" w:line="256" w:lineRule="auto"/><w:jc w:val="center"/></w:pPr><w:r><w:rPr><w:rFonts w:ascii="Times New Roman" w:hAnsi="Times New Roman"/><w:sz w:val="24"/><w:szCs w:val="24"/><w:lang w:val="es-VE"/></w:rPr></w:r></w:p><w:p><w:pPr><w:pStyle w:val="style0"/><w:tabs><w:tab w:leader="none" w:pos="5160" w:val="left"/></w:tabs><w:spacing w:after="160" w:before="0" w:line="256" w:lineRule="auto"/><w:jc w:val="center"/></w:pPr><w:r><w:rPr><w:rFonts w:ascii="Times New Roman" w:hAnsi="Times New Roman"/><w:sz w:val="24"/><w:szCs w:val="24"/><w:lang w:val="es-VE"/></w:rPr><w:t>ANEXO N°83 Margen de Utilidad en Operaciones 2013</w:t></w:r></w:p><w:tbl><w:tblPr><w:jc w:val="center"/><w:tblBorders></w:tblBorders></w:tblPr><w:tblGrid><w:gridCol w:w="1417"/><w:gridCol w:w="3369"/><w:gridCol w:w="1732"/><w:gridCol w:w="2319"/></w:tblGrid><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UTILIDAD EN OPERACIONES</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VENTAS</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MARGEN DE UTILIDAD</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-225.631,22</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2.618.711,07</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-0,09</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688.202,34</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2.280.917,84</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0,30</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451.944,83</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2.280.739,59</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0,20</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-191.967,02</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3.018.765,01</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-0,06</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-157.021,55</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3.013.029,55</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-0,05</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-143.416,57</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3.120.558,55</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-0,05</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-130.990,39</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3.231.925,04</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-119.640,86</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3.347.265,98</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-109.274,70</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3.466.723,21</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-99.806,70</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3.590.443,63</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-91.159,05</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3.718.579,38</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Dic-13</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-83.260,66</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3.851.288,04</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01-01-2013 al 31-12-2013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N°84 Margen de Utilidad en Operaciones 2014</w:t></w:r></w:p><w:tbl><w:tblPr><w:jc w:val="center"/><w:tblBorders></w:tblBorders></w:tblPr><w:tblGrid><w:gridCol w:w="1417"/><w:gridCol w:w="3369"/><w:gridCol w:w="1732"/><w:gridCol w:w="2319"/></w:tblGrid><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UTILIDAD EN OPERACIONES</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VENTAS</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MARGEN DE UTILIDAD</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-76.046,63</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3.988.732,81</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-69.457,64</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4.131.082,71</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-63.439,55</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4.278.512,79</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-57.942,90</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4.431.204,35</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-52.922,49</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4.589.345,17</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-48.337,08</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4.753.129,72</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-44.148,96</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4.922.759,42</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-40.323,72</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5.098.442,85</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-36.829,91</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5.280.396,08</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-33.638,82</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5.468.842,86</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-30.724,22</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5.664.014,92</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283"/><w:cantSplit w:val="false"/></w:trPr><w:tc><w:tcPr><w:tcW w:type="dxa" w:w="14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Dic-14</w:t></w:r></w:p></w:tc><w:tc><w:tcPr><w:tcW w:type="dxa" w:w="336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-28.062,15</w:t></w:r></w:p></w:tc><w:tc><w:tcPr><w:tcW w:type="dxa" w:w="173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5.866.152,29</w:t></w:r></w:p></w:tc><w:tc><w:tcPr><w:tcW w:type="dxa" w:w="2319"/><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-0,00</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01-01-2014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N°85 Margen de Utilidad Neta 2008</w:t></w:r></w:p><w:tbl><w:tblPr><w:jc w:val="center"/><w:tblBorders></w:tblBorders></w:tblPr><w:tblGrid><w:gridCol w:w="1262"/><w:gridCol w:w="1476"/><w:gridCol w:w="1595"/><w:gridCol w:w="1258"/></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AÑO 2008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UN</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VENTAS</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eastAsia="es-VE" w:val="es-VE"/></w:rPr><w:t>MARGEN</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Ene-08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1.069.754,37</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3.227.502,08</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0,33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Feb-08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1.391.174,65</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4.121.186,66</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0,34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Mar-08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1.560.322,72</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4.873.304,92</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0,32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Abr-08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1.791.990,53</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5.777.114,45</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0,31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May-08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1.878.455,95</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6.473.441,18</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0,29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Jun-08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1.819.355,98</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7.149.774,18</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0,25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Jul-08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1.834.245,08</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7.980.758,14</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0,23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Ago-08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1.883.273,34</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8.797.090,32</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0,21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Sept-08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2.062.295,58</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10.694.694,47</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0,19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Oct-08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sz w:val="24"/><w:szCs w:val="24"/><w:lang w:eastAsia="es-VE" w:val="es-VE"/></w:rPr><w:t>2.250.255,82</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10.388.688,74</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0,22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Nov-08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-64.011,33</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489.659,64</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-0,13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eastAsia="es-VE" w:val="es-VE"/></w:rPr><w:t>Dic-08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11.616,85</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1.056.413,45</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eastAsia="Times New Roman" w:hAnsi="Times New Roman"/><w:color w:val="000000"/><w:sz w:val="24"/><w:szCs w:val="24"/><w:lang w:eastAsia="es-VE" w:val="es-VE"/></w:rPr><w:t>0,01</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01-01-2008 al 31-12-2008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N°86 Margen de Utilidad Neta 2009</w:t></w:r></w:p><w:tbl><w:tblPr><w:jc w:val="center"/><w:tblBorders></w:tblBorders></w:tblPr><w:tblGrid><w:gridCol w:w="1263"/><w:gridCol w:w="1476"/><w:gridCol w:w="1476"/><w:gridCol w:w="1257"/></w:tblGrid><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AÑO 2009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UN</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VENTAS</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MARGEN</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Ene-09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104.978,55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1.604.125,24</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0,07</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Feb-09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187.453,36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2.097.211,53</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Mar-09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316.410,47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2.820.770,57</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Abr-09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332.769,38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3.405.427,79</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0,10</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May-09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400.567,86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3.984.817,04</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0,10</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Jun-09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498.693,36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4.739.604,92</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Jul-09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810412,5342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6.283.638,03</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Ago-09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895.358,66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6.254.990,95</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Sept-09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868.464,20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7.084.216,07</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0,12</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Oct-09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751.902,59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8.005.726,80</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Nov-09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62.657,59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846.473,05</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0,07</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Dic-09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103.959,58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1.767.035,69</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0,06</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01-01-2009 al 31-12-2009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N°87 Margen de Utilidad Neta 2010</w:t></w:r></w:p><w:tbl><w:tblPr><w:jc w:val="center"/><w:tblBorders></w:tblBorders></w:tblPr><w:tblGrid><w:gridCol w:w="1262"/><w:gridCol w:w="1376"/><w:gridCol w:w="1595"/><w:gridCol w:w="1258"/></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UN</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VENTAS</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MARGEN</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174.698,95</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2.485.351,66</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67.725,76</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3.395.363,82</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94.512,66</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4.557.648,44</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185.435,89</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5.722.525,12</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259.011,49</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6.857.880,97</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-322.173,87</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8.291.656,38</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-87098,98</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9.470.557,33</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-598.557,34</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10.358.288,64</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-523.015,81</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11.659.688,47</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-844.182,83</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13.065.430,42</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-27.222,02</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1.617.593,44</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-933.752,32</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3.061.215,09</w:t></w:r></w:p></w:tc><w:tc><w:tcPr><w:tcW w:type="dxa" w:w="125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-0,31</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01-01-2010 al 31-12-2010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N°88 Margen de Utilidad Neta 2011</w:t></w:r></w:p><w:tbl><w:tblPr><w:jc w:val="center"/><w:tblBorders></w:tblBorders></w:tblPr><w:tblGrid><w:gridCol w:w="1262"/><w:gridCol w:w="1376"/><w:gridCol w:w="1476"/><w:gridCol w:w="125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UN</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VENTAS</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MARGEN</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-470.382,44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1.300.328,59</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-0,36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134.059,86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1.518.989,31</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650.053,00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2.234.613,03</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0,29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-470.760,68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803.053,80</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-0,59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64.892,05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1.745.344,68</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-172.870,51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1.658.541,80</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80.791,68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1.653.785,89</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542.617,63</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1.865.872,25</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0,29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236.457,84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2.010.614,93</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120.331,11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2.061.312,20</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60.672,97</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2.199.547,26</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Dic-11</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82.375,50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2.067.950,85</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01-01-2011 al 31-12-2011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N°89 Margen de Utilidad Neta 2012</w:t></w:r></w:p><w:tbl><w:tblPr><w:jc w:val="center"/><w:tblBorders></w:tblBorders></w:tblPr><w:tblGrid><w:gridCol w:w="1262"/><w:gridCol w:w="1376"/><w:gridCol w:w="1476"/><w:gridCol w:w="125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UN</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VENTAS</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MARGEN</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Ene-12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187.578,37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1.854.644,82</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Feb-12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134.541,57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2.078.982,00</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Mar-12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48.227,02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2.214.834,39</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Abr-12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22.630,39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1.784.676,85</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May-12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259.399,34</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2.412.582,40</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Jun-12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-152.198,32</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2.609.499,49</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Jul-12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673.115,37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2.585.299,91</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Ago-12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-562.465,58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2.344.360,77</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Sept-12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-49.864,80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2.107.064,41</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Oct-12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-722.222,55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2.700.768,88</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Nov-12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112.031,83</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2.737.720,94</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pPr><w:r><w:rPr><w:rFonts w:ascii="Times New Roman" w:hAnsi="Times New Roman"/><w:color w:val="000000"/><w:sz w:val="24"/><w:szCs w:val="24"/><w:lang w:val="es-VE"/></w:rPr><w:t>Dic-12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-721.506,20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2.576.500,42</w:t></w:r></w:p></w:tc><w:tc><w:tcPr><w:tcW w:type="dxa" w:w="125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-0,28</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01-01-2012 al 31-12-2012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N°90 Margen de Utilidad Neta 2013</w:t></w:r></w:p><w:tbl><w:tblPr><w:jc w:val="center"/><w:tblBorders></w:tblBorders></w:tblPr><w:tblGrid><w:gridCol w:w="1262"/><w:gridCol w:w="1376"/><w:gridCol w:w="1476"/><w:gridCol w:w="125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UN</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VENTAS</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MARGEN</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-225.631,22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2.618.711,07</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688.202,34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2.280.917,84</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0,30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451.944,83</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2.280.739,59</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0,20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-191.967,02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3.018.765,01</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-157.021,55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3.013.029,55</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-143.416,57</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3.120.558,55</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-130.990,39</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3.231.925,04</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-119.640,86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3.347.265,98</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-109.274,70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3.466.723,21</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-99.806,70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3.590.443,63</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-91.159,05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3.718.579,38</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Dic-13</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-83.260,66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3.851.288,04</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01-01-2013 al 31-12-2013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N°91 Margen de Utilidad Neta 2014</w:t></w:r></w:p><w:tbl><w:tblPr><w:jc w:val="center"/><w:tblBorders></w:tblBorders></w:tblPr><w:tblGrid><w:gridCol w:w="1263"/><w:gridCol w:w="1255"/><w:gridCol w:w="1476"/><w:gridCol w:w="1257"/></w:tblGrid><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UN</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VENTAS</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MARGEN</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-76.046,63</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3.988.732,81</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-69.457,64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4.131.082,71</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-63.439,55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4.278.512,79</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-57.942,90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4.431.204,35</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-52.922,49</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4.589.345,17</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-48.337,08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4.753.129,72</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xml:space="preserve"> </w:t></w:r><w:r><w:rPr><w:rFonts w:ascii="Times New Roman" w:hAnsi="Times New Roman"/><w:color w:val="000000"/><w:sz w:val="24"/><w:szCs w:val="24"/><w:lang w:val="es-VE"/></w:rPr><w:t>44.148,96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4.922.759,42</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-40.323,72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5.098.442,85</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-36.829,91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5.280.396,08</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-33.638,82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5.468.842,86</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-30.724,22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5.664.014,92</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Dic-14</w:t></w:r></w:p></w:tc><w:tc><w:tcPr><w:tcW w:type="dxa" w:w="125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-28.062,15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5.866.152,29</w:t></w:r></w:p></w:tc><w:tc><w:tcPr><w:tcW w:type="dxa" w:w="125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-0,00</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01-01-2014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N°92 Rendimiento Sobre Activos Neta 2008</w:t></w:r></w:p><w:tbl><w:tblPr><w:jc w:val="center"/><w:tblBorders></w:tblBorders></w:tblPr><w:tblGrid><w:gridCol w:w="1263"/><w:gridCol w:w="1476"/><w:gridCol w:w="1476"/><w:gridCol w:w="716"/></w:tblGrid><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AÑO 2008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UN</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AT</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ROA</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Ene-08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1.069.754,37</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4.891.553,21</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0,22</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Feb-08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1.391.174,65</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5.490.727,82</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0,25</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Mar-08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1.560.322,72</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5.845.223,38</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0,27</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Abr-08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1.791.990,53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6.347.597,24</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0,28</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May-08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1.878.455,95</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6.650.173,67</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0,28</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Jun-08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1.819.355,98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6.819.388,99</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0,27</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Jul-08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1.834.245,08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7.041.264,05</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0,26</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Ago-08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1.883.273,34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7.359.381,85</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0,26</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Sept-08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1.883.273,34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7.742.849,27</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0,24</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Oct-08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2.250.255,82</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5.802.851,79</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0,39</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Nov-08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- 64.011,33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5.264.822,04</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-0,01</w:t></w:r></w:p></w:tc></w:tr><w:tr><w:trPr><w:trHeight w:hRule="atLeast" w:val="300"/><w:cantSplit w:val="false"/></w:trPr><w:tc><w:tcPr><w:tcW w:type="dxa" w:w="1263"/><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Dic-08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11.616,85</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5.293.917,16</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0,00</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31-12-2008 y Estado de Ganancias y Pérdidas del 01-01-2008 al 31-12-2008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N°93 Rendimiento Sobre Activos Neta 2009</w:t></w:r></w:p><w:tbl><w:tblPr><w:jc w:val="center"/><w:tblBorders></w:tblBorders></w:tblPr><w:tblGrid><w:gridCol w:w="1262"/><w:gridCol w:w="1296"/><w:gridCol w:w="1476"/><w:gridCol w:w="710"/></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AÑO 2009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UN</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AT</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ROA</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Ene-09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104.978,55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5.422.539,70</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Feb-09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187.453,36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5.101.085,59</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Mar-09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316.410,47</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5.370.603,08</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Abr-09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332.769,38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5.454.309,59</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May-09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400.567,86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5.614.671,29</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Jun-09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498.693,36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5.850.242,65</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0,09</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Jul-09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498693,36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5.927.148,99</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0,08</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Ago-09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895.358,66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6.143.027,97</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0,15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Sept-09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868.464,20</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5.108.935,85</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0,17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Oct-09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751.902,59</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6.178.217,85</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0,12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Nov-09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62.657,59</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5.715.514,94</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Dic-09</w:t></w:r></w:p></w:tc><w:tc><w:tcPr><w:tcW w:type="dxa" w:w="129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103.959,58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5.928.528,90</w:t></w:r></w:p></w:tc><w:tc><w:tcPr><w:tcW w:type="dxa" w:w="71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0,02</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31-12-2009 y Estado de Ganancias y Pérdidas del 01-01-2009 al 31-12-2009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N°94 Rendimiento Sobre Activos Neta 2010</w:t></w:r></w:p><w:tbl><w:tblPr><w:jc w:val="center"/><w:tblBorders></w:tblBorders></w:tblPr><w:tblGrid><w:gridCol w:w="1262"/><w:gridCol w:w="1376"/><w:gridCol w:w="1476"/><w:gridCol w:w="716"/></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UN</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AT</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ROA</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174.698,95</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6.465.027,43</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67.725,76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6.879.236,22</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94.512,66</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7.073.423,80</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185.435,89</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7.052.718,67</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259.011,49</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7.750.244,82</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-322.173,87</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8.399.680,16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-87.098,98</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8.919.191,54</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-598.557,34</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9.002.676,06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-523.015,81</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9.064.027,16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-844.182,83</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8.861.540,97</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-27.222,02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8.386.286,58</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-933.752,32</w:t></w:r></w:p></w:tc><w:tc><w:tcPr><w:tcW w:type="dxa" w:w="14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7.737.925,68</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-0,12</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31-12-2010 y Estado de Ganancias y Pérdidas del 01-01-2010 al 31-12-2010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N°95 Rendimiento Sobre Activos Neta 2011</w:t></w:r></w:p><w:tbl><w:tblPr><w:jc w:val="center"/><w:tblBorders></w:tblBorders></w:tblPr><w:tblGrid><w:gridCol w:w="1262"/><w:gridCol w:w="1436"/><w:gridCol w:w="1595"/><w:gridCol w:w="717"/></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UN</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AT</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ROA</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-470.382,44</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8.402.922,27</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134.059,86</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8.775.157,36</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650.053,00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9.298.950,14</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-470.760,68</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8.924.776,17</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64.892,05</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9.360.917,78</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- 172.870,51</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9.834.776,29</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80.791,68</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10.473.696,36</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542.617,63</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10.498.712,20</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236.457,84</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10.811.408,34</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120.331,11</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11.894.951,01</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60.672,97</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12.363.792,16</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82.375,50</w:t></w:r></w:p></w:tc><w:tc><w:tcPr><w:tcW w:type="dxa" w:w="159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11.990.140,48</w:t></w:r></w:p></w:tc><w:tc><w:tcPr><w:tcW w:type="dxa" w:w="717"/><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31-12-2011 y Estado de Ganancias y Pérdidas del 01-01-2011 al 31-12-2011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N°96 Rendimiento Sobre Activos Neta 2012</w:t></w:r></w:p><w:tbl><w:tblPr><w:jc w:val="center"/><w:tblBorders></w:tblBorders></w:tblPr><w:tblGrid><w:gridCol w:w="1263"/><w:gridCol w:w="1375"/><w:gridCol w:w="1596"/><w:gridCol w:w="716"/></w:tblGrid><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UN</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AT</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ROA</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187.578,37</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12.623.049,53</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134.541,57</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13.671.784,75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48.227,02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13.969.716,96</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22.630,39</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13.994.910,83</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259.399,34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15.037.294,41</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-152.198,32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16.737.863,49</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673.115,37</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18.423.917,55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-562.465,58</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18.821.090,30</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-49.864,80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19.557.957,70</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-722.222,55</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20.414.124,14</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112.031,83</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14.712.680,69</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-721.506,20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14.549.662,99</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-0,05</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31-12-2012 y Estado de Ganancias y Pérdidas del 01-01-2012 al 31-12-2012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N°97 Rendimiento Sobre Activos Neta 2013</w:t></w:r></w:p><w:tbl><w:tblPr><w:jc w:val="center"/><w:tblBorders></w:tblBorders></w:tblPr><w:tblGrid><w:gridCol w:w="1263"/><w:gridCol w:w="1375"/><w:gridCol w:w="1596"/><w:gridCol w:w="716"/></w:tblGrid><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UN</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AT</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ROA</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-225.631,22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15.598.393,47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688.202,34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15.500.690,60</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451.944,83</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15.731.468,41</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-191.967,02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15.922.889,70</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-157.021,55</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15.316.041,56</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-143.416,57</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15.385.827,27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-130.990,39</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15.455.930,94</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-119.640,86</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15.526.354,04</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-109.274,70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15.597.098,00</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-99.806,70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15.668.164,31</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-91.159,05</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15.739.554,42</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-83.260,66</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15.811.269,81</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31-12-2013 y Estado de Ganancias y Pérdidas del 01-01-2013 al 31-12-2013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N°98 Rendimiento Sobre Activos Neta 2014</w:t></w:r></w:p><w:tbl><w:tblPr><w:jc w:val="center"/><w:tblBorders></w:tblBorders></w:tblPr><w:tblGrid><w:gridCol w:w="1262"/><w:gridCol w:w="1916"/><w:gridCol w:w="1596"/><w:gridCol w:w="716"/></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UN</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AT</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ROA</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76.046,63</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15.598.393,47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69.457,64</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15.500.690,60</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63.439,55</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15.731.468,41</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57.942,90</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15.922.889,70</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52.922,49</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15.316.041,56</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48.337,08</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15.385.827,27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44.148,96</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15.455.930,94</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40.323,72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15.526.354,04</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36.829,91</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15.597.098,00</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33.638,82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15.668.164,31</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30.724,22</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15.739.554,42</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Dic-14</w:t></w:r></w:p></w:tc><w:tc><w:tcPr><w:tcW w:type="dxa" w:w="19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28.062,15</w:t></w:r></w:p></w:tc><w:tc><w:tcPr><w:tcW w:type="dxa" w:w="15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15.811.269,81</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y Estado de Ganancias y Pérdidas del 01-01-2014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N°99 Rendimiento Sobre Patrimonio 2008</w:t></w:r></w:p><w:tbl><w:tblPr><w:jc w:val="center"/><w:tblBorders></w:tblBorders></w:tblPr><w:tblGrid><w:gridCol w:w="1262"/><w:gridCol w:w="1476"/><w:gridCol w:w="1751"/><w:gridCol w:w="716"/></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AÑO 2008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UN</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PATRIMONIO</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ROE</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Ene-08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1.069.754,37</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3.177.080,00</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0,34</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Feb-08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1.391.174,65</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3.498.500,28</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0,40</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Mar-08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1.560.322,72</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3.667.648,35</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0,43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Abr-08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1.791.990,53</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3.899.316,16</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0,46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May-08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1.878.455,95</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3.985.781,58</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0,47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Jun-08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1.819.355,98</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3.926.681,61</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0,46</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Jul-08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1.834.245,08</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3.941.570,71</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0,47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Ago-08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1.883.273,34</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3.990.598,97</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0,47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Sept-08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1.883.273,34</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3.990.598,97</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0,47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Oct-08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2.250.255,82</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4.357.581,45</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0,52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Nov-08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-64.011,33</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4.293.570,12</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-0,01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Dic-08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11.616,85</w:t></w:r></w:p></w:tc><w:tc><w:tcPr><w:tcW w:type="dxa" w:w="1751"/><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4.369.198,30</w:t></w:r></w:p></w:tc><w:tc><w:tcPr><w:tcW w:type="dxa" w:w="71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0,00</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31-12-2008 y Estado de Ganancias y Pérdidas del 01-01-2008 al 31-12-2008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N°100 Rendimiento Sobre Patrimonio 2009</w:t></w:r></w:p><w:tbl><w:tblPr><w:jc w:val="center"/><w:tblBorders></w:tblBorders></w:tblPr><w:tblGrid><w:gridCol w:w="1262"/><w:gridCol w:w="1296"/><w:gridCol w:w="1750"/><w:gridCol w:w="710"/></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AÑO 2009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UN</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PATRIMONIO</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ROE</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Ene-09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104.978,55</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4.462.560,00</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Feb-09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187.453,36</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4.545.034,81</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Mar-09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316.410,47</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4.673.991,92</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Abr-09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332.769,38</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4.690.350,83</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May-09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400.567,86</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4.758.149,31</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Jun-09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498.693,36</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4.856.274,81</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Jul-09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498.693,36</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4.856.274,81</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Ago-09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895.358,66</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5.252.940,11</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Sept-09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868.464,20</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5.226.045,65</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Oct-09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751.902,59</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5.109.484,04</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Nov-09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62.657,59</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5.172.141,63</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Dic-09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103.959,58</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5.213.443,62</w:t></w:r></w:p></w:tc><w:tc><w:tcPr><w:tcW w:type="dxa" w:w="71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0,02</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31-12-2009 y Estado de Ganancias y Pérdidas del 01-01-2009 al 31-12-2009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N°101 Rendimiento Sobre Patrimonio 2010</w:t></w:r></w:p><w:tbl><w:tblPr><w:jc w:val="center"/><w:tblBorders></w:tblBorders></w:tblPr><w:tblGrid><w:gridCol w:w="1262"/><w:gridCol w:w="1376"/><w:gridCol w:w="1750"/><w:gridCol w:w="716"/></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AÑO 2010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UN</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PATRIMONIO</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sz w:val="24"/><w:szCs w:val="24"/><w:lang w:val="es-VE"/></w:rPr><w:t>ROE</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Ene-10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174.698,95</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5.284.182,99</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Feb-10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67.725,76</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5.229.153,25</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Mar-10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94.512,66</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5.255.940,15</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Abr-10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185.435,89</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5.346.863,38</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May-10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259.011,49</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5.420.438,98</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Jun-10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-322.173,87</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4.839.253,62</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Jul-10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-87.098,98</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5.074.328,51</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Ago-10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-598.557,34</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4.562.870,15</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-0,13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Sept-10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-523.015,81</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4.638.411,68</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-0,11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Oct-10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-844.182,83</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-0,20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Nov-10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-27.222,02</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4.290.022,64</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Dic-10</w:t></w:r></w:p></w:tc><w:tc><w:tcPr><w:tcW w:type="dxa" w:w="137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-933.752,32</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3.383.492,34</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-0,28</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31-12-2010 y Estado de Ganancias y Pérdidas del 01-01-2010 al 31-12-2010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N°102 Rendimiento Sobre Patrimonio 2011</w:t></w:r></w:p><w:tbl><w:tblPr><w:jc w:val="center"/><w:tblBorders></w:tblBorders></w:tblPr><w:tblGrid><w:gridCol w:w="1262"/><w:gridCol w:w="1436"/><w:gridCol w:w="1750"/><w:gridCol w:w="716"/></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UN</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PATRIMONIO</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ROE</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- 470.382,44</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134.059,86</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650.053,00</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-470.760,68</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64.892,05</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-172.870,51</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80.791,68</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542.617,63</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236.457,84</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120.331,11</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60.672,97</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Dic-11</w:t></w:r></w:p></w:tc><w:tc><w:tcPr><w:tcW w:type="dxa" w:w="143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82.375,50</w:t></w:r></w:p></w:tc><w:tc><w:tcPr><w:tcW w:type="dxa" w:w="1750"/><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4.317.244,66</w:t></w:r></w:p></w:tc><w:tc><w:tcPr><w:tcW w:type="dxa" w:w="71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0,02</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31-12-2011 y Estado de Ganancias y Pérdidas del 01-01-2011 al 31-12-2011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N°103 Rendimiento Sobre Patrimonio 2012</w:t></w:r></w:p><w:tbl><w:tblPr><w:jc w:val="center"/><w:tblBorders></w:tblBorders></w:tblPr><w:tblGrid><w:gridCol w:w="1262"/><w:gridCol w:w="1376"/><w:gridCol w:w="1750"/><w:gridCol w:w="716"/></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UN</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PATRIMONIO</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ROE</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187.578,37</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134.541,57</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48.227,02</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22.630,39</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259.399,34</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-152.198,32</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673.115,37</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-562.465,58</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-49.864,80</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-722.222,55</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4.098.560,47</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112.031,83</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-721.506,20</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-0,18</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31-12-2012 y Estado de Ganancias y Pérdidas del 01-01-2012 al 31-12-2012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N°104 Rendimiento Sobre Patrimonio 2013</w:t></w:r></w:p><w:tbl><w:tblPr><w:jc w:val="center"/><w:tblBorders></w:tblBorders></w:tblPr><w:tblGrid><w:gridCol w:w="1262"/><w:gridCol w:w="1376"/><w:gridCol w:w="1750"/><w:gridCol w:w="716"/></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UN</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PATRIMONIO</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ROE</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-225.631,22</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688.202,34</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451.944,83</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-191.967,02</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-157.021,55</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-143.416,57</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-130.990,39</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-119.640,86</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-109.274,70</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-99.806,70</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-91.159,05</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-83.260,66</w:t></w:r></w:p></w:tc><w:tc><w:tcPr><w:tcW w:type="dxa" w:w="1750"/><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31-12-2013 y Estado de Ganancias y Pérdidas del 01-01-2013 al 31-12-2013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N°105 Rendimiento Sobre Patrimonio 2014</w:t></w:r></w:p><w:tbl><w:tblPr><w:jc w:val="center"/><w:tblBorders></w:tblBorders></w:tblPr><w:tblGrid><w:gridCol w:w="1262"/><w:gridCol w:w="2036"/><w:gridCol w:w="1749"/><w:gridCol w:w="717"/></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UN</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PATRIMONIO</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ROE</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76.046,63</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69.457,64</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63.439,55</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57.942,90</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52.922,49</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48.337,08</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44.148,96</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40.323,72</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36.829,91</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33.638,82</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30.724,22</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Dic-14</w:t></w:r></w:p></w:tc><w:tc><w:tcPr><w:tcW w:type="dxa" w:w="203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28.062,15</w:t></w:r></w:p></w:tc><w:tc><w:tcPr><w:tcW w:type="dxa" w:w="1749"/><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4.080.349,75</w:t></w:r></w:p></w:tc><w:tc><w:tcPr><w:tcW w:type="dxa" w:w="71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bl><w:p><w:pPr><w:pStyle w:val="style0"/><w:tabs><w:tab w:leader="none" w:pos="5160" w:val="left"/></w:tabs><w:spacing w:after="160" w:before="0" w:line="256" w:lineRule="auto"/><w:jc w:val="center"/></w:pPr><w:r><w:rPr><w:rFonts w:ascii="Times New Roman" w:hAnsi="Times New Roman"/><w:sz w:val="24"/><w:szCs w:val="24"/><w:lang w:val="es-VE"/></w:rPr><w:t>Fuente: Extraído del Balance General al 31-12-2014 y Estado de Ganancias y Pérdidas del 01-01-2014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N°106 Rendimiento Sobre el Capital de Trabajo 2008</w:t></w:r></w:p><w:tbl><w:tblPr><w:jc w:val="center"/><w:tblBorders></w:tblBorders></w:tblPr><w:tblGrid><w:gridCol w:w="1262"/><w:gridCol w:w="1476"/><w:gridCol w:w="1476"/><w:gridCol w:w="1938"/></w:tblGrid><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AÑO 2008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UN</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CT</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hAnsi="Times New Roman"/><w:b/><w:bCs/><w:sz w:val="24"/><w:szCs w:val="24"/><w:lang w:eastAsia="es-VE" w:val="es-VE"/></w:rPr><w:t>RENDIMIENTO</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Ene-08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1.069.754,37</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1.888.148,17</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0,57</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Feb-08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1.391.174,65</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2.345.753,05</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0,59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Mar-08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1.560.322,72</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2.581.228,15</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0,60</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Abr-08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1.791.990,53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2.945.622,04</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0,61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May-08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1.878.455,95</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3.088.237,01</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0,61</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Jun-08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1.819.355,98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2.951.056,28</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0,62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Jul-08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1.834.245,08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2.974.232,03</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0,62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Ago-08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1.883.273,34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3.038.321,67</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0,62</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Sept-08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1.883.273,34</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3.252.586,81</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0,58</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Oct-08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2.250.255,82</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2.521.106,57</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0,89</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Nov-08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-64.011,33</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2.456.944,68</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-0,03</w:t></w:r></w:p></w:tc></w:tr><w:tr><w:trPr><w:trHeight w:hRule="atLeast" w:val="300"/><w:cantSplit w:val="false"/></w:trPr><w:tc><w:tcPr><w:tcW w:type="dxa" w:w="1262"/><w:tcBorders></w:tcBorders><w:shd w:fill="auto" w:val="clear"/><w:tcMar><w:top w:type="dxa" w:w="0"/><w:left w:type="dxa" w:w="108"/><w:bottom w:type="dxa" w:w="0"/><w:right w:type="dxa" w:w="108"/></w:tcMar></w:tcPr><w:p><w:pPr><w:pStyle w:val="style0"/><w:spacing w:after="0" w:before="0" w:line="100" w:lineRule="atLeast"/></w:pPr><w:r><w:rPr><w:rFonts w:ascii="Times New Roman" w:hAnsi="Times New Roman"/><w:sz w:val="24"/><w:szCs w:val="24"/><w:lang w:eastAsia="es-VE" w:val="es-VE"/></w:rPr><w:t>Dic-08</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11.616,85</w:t></w:r></w:p></w:tc><w:tc><w:tcPr><w:tcW w:type="dxa" w:w="1476"/><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2.537.340,74</w:t></w:r></w:p></w:tc><w:tc><w:tcPr><w:tcW w:type="dxa" w:w="1938"/><w:tcBorders></w:tcBorders><w:shd w:fill="auto" w:val="clear"/><w:tcMar><w:top w:type="dxa" w:w="0"/><w:left w:type="dxa" w:w="108"/><w:bottom w:type="dxa" w:w="0"/><w:right w:type="dxa" w:w="108"/></w:tcMar></w:tcPr><w:p><w:pPr><w:pStyle w:val="style0"/><w:spacing w:after="0" w:before="0" w:line="100" w:lineRule="atLeast"/><w:jc w:val="center"/></w:pPr><w:r><w:rPr><w:rFonts w:ascii="Times New Roman" w:eastAsia="Times New Roman" w:hAnsi="Times New Roman"/><w:sz w:val="24"/><w:szCs w:val="24"/><w:lang w:eastAsia="es-VE" w:val="es-VE"/></w:rPr><w:t>0,00</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01-01-2008 al 31-12-2008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N°107 Rendimiento Sobre el Capital de Trabajo 2009</w:t></w:r></w:p><w:tbl><w:tblPr><w:jc w:val="center"/><w:tblBorders></w:tblBorders></w:tblPr><w:tblGrid><w:gridCol w:w="1262"/><w:gridCol w:w="1296"/><w:gridCol w:w="1476"/><w:gridCol w:w="193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AÑO 2009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UN</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CT</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sz w:val="24"/><w:szCs w:val="24"/><w:lang w:val="es-VE"/></w:rPr><w:t>RENDIMIENTO</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Ene-09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104.978,55</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2.654.949,04</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Feb-09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187.453,36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2.781.148,60</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Mar-09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316.410,47</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2.982.387,27</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Abr-09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332.769,38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2.976.567,42</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May-09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400.567,86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3.075.968,10</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Jun-09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498.693,36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3.228.143,46</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Jul-09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498.693,36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3.327.058,49</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0,15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Ago-09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895.358,66</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3.078.058,25</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0,29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Sept-09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868.464,20</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1.712.037,37</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0,51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Oct-09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751.902,59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2.781.319,37</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0,27</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Nov-09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62.657,59</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2.455.364,75</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Dic-09</w:t></w:r></w:p></w:tc><w:tc><w:tcPr><w:tcW w:type="dxa" w:w="129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103.959,58</w:t></w:r></w:p></w:tc><w:tc><w:tcPr><w:tcW w:type="dxa" w:w="14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2.450.691,98</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sz w:val="24"/><w:szCs w:val="24"/><w:lang w:val="es-VE"/></w:rPr><w:t>0,04</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01-01-2009 al 31-12-2009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N°108 Rendimiento Sobre el Capital de Trabajo 2010</w:t></w:r></w:p><w:tbl><w:tblPr><w:jc w:val="center"/><w:tblBorders></w:tblBorders></w:tblPr><w:tblGrid><w:gridCol w:w="1262"/><w:gridCol w:w="1375"/><w:gridCol w:w="1556"/><w:gridCol w:w="1938"/></w:tblGrid><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AÑO 2010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UN</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CT</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b/><w:bCs/><w:color w:val="000000"/><w:sz w:val="24"/><w:szCs w:val="24"/><w:lang w:val="es-VE"/></w:rPr><w:t>RENDIMIENTO</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Ene-10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174.698,95</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1.816.872,84</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Feb-10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67.725,76</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1.739.337,49</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Mar-10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94.512,66</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1.779.446,91</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Abr-10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185.435,89</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1.758.741,78</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May-10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259.011,49</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1.617.129,85</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0,16</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Jun-10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-322.173,87</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916.492,15</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-0,35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Jul-10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-87.098,98</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1.165.374,91</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-0,07</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Ago-10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-598.557,34</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659.678,23</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-0,91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Sept-10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-523.015,81</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741.958,54</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-0,70</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Oct-10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sz w:val="24"/><w:szCs w:val="24"/><w:lang w:val="es-VE"/></w:rPr><w:t>-844.182,83</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-442.450,22</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1,91</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Nov-10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-27.222,02</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-588.870,11</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Dic-10</w:t></w:r></w:p></w:tc><w:tc><w:tcPr><w:tcW w:type="dxa" w:w="1375"/><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-933.752,32</w:t></w:r></w:p></w:tc><w:tc><w:tcPr><w:tcW w:type="dxa" w:w="1556"/><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-1.462.445,57</w:t></w:r></w:p></w:tc><w:tc><w:tcPr><w:tcW w:type="dxa" w:w="1938"/><w:tcBorders></w:tcBorders><w:shd w:fill="auto" w:val="clear"/><w:tcMar><w:top w:type="dxa" w:w="0"/><w:left w:type="dxa" w:w="108"/><w:bottom w:type="dxa" w:w="0"/><w:right w:type="dxa" w:w="108"/></w:tcMar><w:vAlign w:val="center"/></w:tcPr><w:p><w:pPr><w:pStyle w:val="style0"/><w:spacing w:after="0" w:before="0" w:line="100" w:lineRule="atLeast"/><w:jc w:val="center"/></w:pPr><w:r><w:rPr><w:rFonts w:ascii="Times New Roman" w:hAnsi="Times New Roman"/><w:color w:val="000000"/><w:sz w:val="24"/><w:szCs w:val="24"/><w:lang w:val="es-VE"/></w:rPr><w:t>0,64</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01-01-2010 al 31-12-2010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N°109 Rendimiento Sobre el Capital de Trabajo 2011</w:t></w:r></w:p><w:tbl><w:tblPr><w:jc w:val="center"/><w:tblBorders></w:tblBorders></w:tblPr><w:tblGrid><w:gridCol w:w="1262"/><w:gridCol w:w="1375"/><w:gridCol w:w="1556"/><w:gridCol w:w="193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UN</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RENDIMIENTO</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-470.382,44</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-1.569.387,64</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134.059,86</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-1.398.043,51</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650.053,00</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-717.999,99</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-0,91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-470.760,68</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-1.167.833,37</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0,40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64.892,05</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-1.157.873,89</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-172.870,51</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-1.293.460,13</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80.791,68</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-1.530.055,09</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542.617,63</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-987.437,46</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236.457,84</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-725.510,96</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120.331,11</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-354.287,79</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60.672,97</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-496.182,54</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Dic-11</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82.375,50</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-413.807,04</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-0,20</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01-01-2011 al 31-12-2011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N°110 Rendimiento Sobre el Capital de Trabajo 2012</w:t></w:r></w:p><w:tbl><w:tblPr><w:jc w:val="center"/><w:tblBorders></w:tblBorders></w:tblPr><w:tblGrid><w:gridCol w:w="1263"/><w:gridCol w:w="1375"/><w:gridCol w:w="1376"/><w:gridCol w:w="1937"/></w:tblGrid><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UN</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RENDIMIENTO</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187.578,37</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-211.553,97</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-0,89</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134.541,57</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-68.828,13</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-1,95</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48.227,02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46.398,89</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22.630,39</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91.513,55</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0,25</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259.399,34</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157.165,93</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1,65</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-152.198,32</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32.253,71</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-4,72</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673.115,37</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322.930,84</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2,08</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-562.465,58</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-206.329,04</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2,73</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-49.864,80</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-211.091,38</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0,24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-722.222,55</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-490.203,44</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1,47</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112.031,83</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-327.019,72</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-0,34</w:t></w:r></w:p></w:tc></w:tr><w:tr><w:trPr><w:trHeight w:hRule="atLeast" w:val="300"/><w:cantSplit w:val="false"/></w:trPr><w:tc><w:tcPr><w:tcW w:type="dxa" w:w="1263"/><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Dic-12</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-721.506,20</w:t></w:r></w:p></w:tc><w:tc><w:tcPr><w:tcW w:type="dxa" w:w="13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-993.990,10</w:t></w:r></w:p></w:tc><w:tc><w:tcPr><w:tcW w:type="dxa" w:w="1937"/><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0,73</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01-01-2012 al 31-12-2012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N°111 Rendimiento Sobre el Capital de Trabajo 2013</w:t></w:r></w:p><w:tbl><w:tblPr><w:jc w:val="center"/><w:tblBorders></w:tblBorders></w:tblPr><w:tblGrid><w:gridCol w:w="1262"/><w:gridCol w:w="1375"/><w:gridCol w:w="1556"/><w:gridCol w:w="193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UN</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RENDIMIENTO</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-225.631,22</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-722.468,06</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0,31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688.202,34</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-1.356.134,58</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-0,51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451.944,83</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-2.350.184,33</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-0,19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-191.967,02</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-2.103.368,08</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0,09</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-157.021,55</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-1.976.421,62</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0,08</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-143.416,57</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-2.285.602,92</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0,06</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-130.990,39</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-2.593.226,62</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0,05</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-119.640,86</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-2.899.374,54</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0,04</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-109.274,70</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-3.204.127,65</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-99.806,70</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-3.507.566,01</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0,03</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-91.159,05</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-3.809.768,87</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Dic-13</w:t></w:r></w:p></w:tc><w:tc><w:tcPr><w:tcW w:type="dxa" w:w="137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-83.260,66</w:t></w:r></w:p></w:tc><w:tc><w:tcPr><w:tcW w:type="dxa" w:w="155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-4.110.814,62</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01-01-2013 al 31-12-2013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tabs><w:tab w:leader="none" w:pos="5160" w:val="left"/></w:tabs><w:spacing w:after="160" w:before="0" w:line="256" w:lineRule="auto"/><w:jc w:val="center"/></w:pPr><w:r><w:rPr><w:rFonts w:ascii="Times New Roman" w:hAnsi="Times New Roman"/><w:sz w:val="24"/><w:szCs w:val="24"/><w:lang w:val="es-VE"/></w:rPr><w:t>ANEXO N°112 Rendimiento Sobre el Capital de Trabajo 2014</w:t></w:r></w:p><w:tbl><w:tblPr><w:jc w:val="center"/><w:tblBorders></w:tblBorders></w:tblPr><w:tblGrid><w:gridCol w:w="1262"/><w:gridCol w:w="1976"/><w:gridCol w:w="1555"/><w:gridCol w:w="1938"/></w:tblGrid><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AÑO 2014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UN</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CT</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b/><w:bCs/><w:color w:val="000000"/><w:sz w:val="24"/><w:szCs w:val="24"/><w:lang w:val="es-VE"/></w:rPr><w:t>RENDIMIENTO</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Ene-14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76.046,63</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-4.410.780,88</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0,02</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Feb-14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69.457,64</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-4.709.744,50</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Mar-14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63.439,55</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-5.007.781,56</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Abr-14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57.942,90</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-5.304.967,41</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May-14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52.922,49</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-5.601.376,72</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Jun-14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48.337,08</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-5.897.083,44</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Jul-14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44.148,96</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-6.192.160,89</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Ago-14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40.323,72</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-6.486.681,73</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Sept-14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36.829,91</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-6.780.718,01</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0,01</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Oct-14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33.638,82</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-7.074.341,17</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Nov-14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30.724,22</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-7.367.622,08</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r><w:trPr><w:trHeight w:hRule="atLeast" w:val="300"/><w:cantSplit w:val="false"/></w:trPr><w:tc><w:tcPr><w:tcW w:type="dxa" w:w="1262"/><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Dic-14</w:t></w:r></w:p></w:tc><w:tc><w:tcPr><w:tcW w:type="dxa" w:w="1976"/><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            28.062,15</w:t></w:r></w:p></w:tc><w:tc><w:tcPr><w:tcW w:type="dxa" w:w="1555"/><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-7.660.631,05</w:t></w:r></w:p></w:tc><w:tc><w:tcPr><w:tcW w:type="dxa" w:w="1938"/><w:tcBorders></w:tcBorders><w:shd w:fill="auto" w:val="clear"/><w:tcMar><w:top w:type="dxa" w:w="0"/><w:left w:type="dxa" w:w="108"/><w:bottom w:type="dxa" w:w="0"/><w:right w:type="dxa" w:w="108"/></w:tcMar><w:vAlign w:val="bottom"/></w:tcPr><w:p><w:pPr><w:pStyle w:val="style0"/><w:spacing w:after="0" w:before="0" w:line="100" w:lineRule="atLeast"/><w:jc w:val="center"/></w:pPr><w:r><w:rPr><w:rFonts w:ascii="Times New Roman" w:hAnsi="Times New Roman"/><w:color w:val="000000"/><w:sz w:val="24"/><w:szCs w:val="24"/><w:lang w:val="es-VE"/></w:rPr><w:t>0,00</w:t></w:r></w:p></w:tc></w:tr></w:tbl><w:p><w:pPr><w:pStyle w:val="style0"/><w:tabs><w:tab w:leader="none" w:pos="5160" w:val="left"/></w:tabs><w:spacing w:after="160" w:before="0" w:line="256" w:lineRule="auto"/><w:jc w:val="center"/></w:pPr><w:r><w:rPr><w:rFonts w:ascii="Times New Roman" w:hAnsi="Times New Roman"/><w:sz w:val="24"/><w:szCs w:val="24"/><w:lang w:val="es-VE"/></w:rPr><w:t>Fuente: Extraído del Estado de Ganancias y Pérdidas del 01-01-2014 al 31-12-2014 del Frigorífico Industrial Carabobo</w:t></w:r></w:p><w:p><w:pPr><w:pStyle w:val="style0"/><w:tabs><w:tab w:leader="none" w:pos="5160" w:val="left"/></w:tabs><w:spacing w:after="160" w:before="0" w:line="256" w:lineRule="auto"/><w:jc w:val="center"/></w:pPr><w:r><w:rPr><w:rFonts w:ascii="Times New Roman" w:eastAsia="Times New Roman" w:hAnsi="Times New Roman"/><w:sz w:val="24"/><w:szCs w:val="24"/><w:lang w:eastAsia="es-VE" w:val="es-VE"/></w:rPr></w:r></w:p><w:p><w:pPr><w:pStyle w:val="style0"/><w:spacing w:after="200" w:before="0"/><w:jc w:val="center"/></w:pPr><w:r><w:rPr></w:rPr></w:r></w:p><w:sectPr><w:type w:val="continuous"/><w:pgSz w:h="15840" w:w="12240"/><w:pgMar w:bottom="1646" w:footer="1134" w:gutter="0" w:header="0" w:left="1134" w:right="1134" w:top="1134"/><w:pgNumType w:fmt="decimal"/><w:formProt w:val="false"/><w:textDirection w:val="lrTb"/></w:sectPr></w:body></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libri">
    <w:charset w:val="80"/>
    <w:family w:val="roman"/>
    <w:pitch w:val="variable"/>
  </w:font>
  <w:font w:name="Stencil">
    <w:charset w:val="80"/>
    <w:family w:val="auto"/>
    <w:pitch w:val="default"/>
  </w:font>
  <w:font w:name="Courier New">
    <w:charset w:val="80"/>
    <w:family w:val="modern"/>
    <w:pitch w:val="fixed"/>
  </w:font>
  <w:font w:name="Wingdings">
    <w:charset w:val="02"/>
    <w:family w:val="auto"/>
    <w:pitch w:val="default"/>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44"/>
      <w:jc w:val="right"/>
    </w:pPr>
    <w:r>
      <w:rPr/>
      <w:fldChar w:fldCharType="begin"/>
    </w:r>
    <w:r>
      <w:instrText> PAGE </w:instrText>
    </w:r>
    <w:r>
      <w:fldChar w:fldCharType="separate"/>
    </w:r>
    <w:r>
      <w:t>1</w:t>
    </w:r>
    <w:r>
      <w:fldChar w:fldCharType="end"/>
    </w:r>
  </w:p>
  <w:p>
    <w:pPr>
      <w:pStyle w:val="style44"/>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44"/>
    </w:pPr>
    <w:r>
      <w:rPr/>
      <w:fldChar w:fldCharType="begin"/>
    </w:r>
    <w:r>
      <w:instrText> PAGE </w:instrText>
    </w:r>
    <w:r>
      <w:fldChar w:fldCharType="separate"/>
    </w:r>
    <w:r>
      <w:t>7</w:t>
    </w:r>
    <w:r>
      <w:fldChar w:fldCharType="end"/>
    </w:r>
  </w:p>
  <w:p>
    <w:pPr>
      <w:pStyle w:val="style44"/>
    </w:pPr>
    <w:r>
      <w:rPr/>
    </w:r>
  </w:p>
</w:ft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bullet"/>
      <w:lvlText w:val="-"/>
      <w:lvlJc w:val="left"/>
      <w:pPr>
        <w:ind w:hanging="360" w:left="720"/>
      </w:pPr>
      <w:rPr>
        <w:rFonts w:ascii="Stencil" w:cs="Stencil" w:hAnsi="Stenci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6">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7">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8">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9">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2">
    <w:lvl w:ilvl="0">
      <w:start w:val="1"/>
      <w:numFmt w:val="lowerLetter"/>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4">
    <w:lvl w:ilvl="0">
      <w:start w:val="1"/>
      <w:numFmt w:val="lowerLetter"/>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5">
    <w:lvl w:ilvl="0">
      <w:start w:val="1"/>
      <w:numFmt w:val="lowerLetter"/>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6">
    <w:lvl w:ilvl="0">
      <w:start w:val="1"/>
      <w:numFmt w:val="lowerLetter"/>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8">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tyles.xml><?xml version="1.0" encoding="utf-8"?>
<w:styles xmlns:w="http://schemas.openxmlformats.org/wordprocessingml/2006/main">
  <w:style w:styleId="style0" w:type="paragraph">
    <w:name w:val="Predeterminado"/>
    <w:next w:val="style0"/>
    <w:pPr>
      <w:widowControl/>
      <w:tabs>
        <w:tab w:leader="none" w:pos="708" w:val="left"/>
      </w:tabs>
      <w:suppressAutoHyphens w:val="true"/>
      <w:spacing w:after="200" w:before="0" w:line="276" w:lineRule="auto"/>
    </w:pPr>
    <w:rPr>
      <w:rFonts w:ascii="Calibri" w:cs="Times New Roman" w:eastAsia="Calibri" w:hAnsi="Calibri"/>
      <w:color w:val="auto"/>
      <w:sz w:val="22"/>
      <w:szCs w:val="22"/>
      <w:lang w:bidi="ar-SA" w:eastAsia="en-US" w:val="es-ES"/>
    </w:rPr>
  </w:style>
  <w:style w:styleId="style1" w:type="paragraph">
    <w:name w:val="Encabezado 1"/>
    <w:basedOn w:val="style0"/>
    <w:next w:val="style36"/>
    <w:pPr>
      <w:keepNext/>
      <w:spacing w:after="60" w:before="240"/>
    </w:pPr>
    <w:rPr>
      <w:rFonts w:ascii="Cambria" w:eastAsia="Times New Roman" w:hAnsi="Cambria"/>
      <w:b/>
      <w:bCs/>
      <w:sz w:val="32"/>
      <w:szCs w:val="32"/>
    </w:rPr>
  </w:style>
  <w:style w:styleId="style2" w:type="paragraph">
    <w:name w:val="Encabezado 2"/>
    <w:basedOn w:val="style0"/>
    <w:next w:val="style36"/>
    <w:pPr>
      <w:keepNext/>
      <w:numPr>
        <w:ilvl w:val="1"/>
        <w:numId w:val="1"/>
      </w:numPr>
      <w:spacing w:after="60" w:before="240"/>
      <w:outlineLvl w:val="1"/>
    </w:pPr>
    <w:rPr>
      <w:rFonts w:ascii="Cambria" w:eastAsia="Times New Roman" w:hAnsi="Cambria"/>
      <w:b/>
      <w:bCs/>
      <w:i/>
      <w:iCs/>
      <w:sz w:val="28"/>
      <w:szCs w:val="28"/>
    </w:rPr>
  </w:style>
  <w:style w:styleId="style3" w:type="paragraph">
    <w:name w:val="Encabezado 3"/>
    <w:basedOn w:val="style0"/>
    <w:next w:val="style36"/>
    <w:pPr>
      <w:keepNext/>
      <w:numPr>
        <w:ilvl w:val="2"/>
        <w:numId w:val="1"/>
      </w:numPr>
      <w:spacing w:after="60" w:before="240"/>
      <w:outlineLvl w:val="2"/>
    </w:pPr>
    <w:rPr>
      <w:rFonts w:ascii="Cambria" w:eastAsia="Times New Roman" w:hAnsi="Cambria"/>
      <w:b/>
      <w:bCs/>
      <w:sz w:val="26"/>
      <w:szCs w:val="26"/>
    </w:rPr>
  </w:style>
  <w:style w:styleId="style15" w:type="character">
    <w:name w:val="Default Paragraph Font"/>
    <w:next w:val="style15"/>
    <w:rPr/>
  </w:style>
  <w:style w:styleId="style16" w:type="character">
    <w:name w:val="Texto nota pie Car"/>
    <w:next w:val="style16"/>
    <w:rPr>
      <w:sz w:val="20"/>
      <w:szCs w:val="20"/>
    </w:rPr>
  </w:style>
  <w:style w:styleId="style17" w:type="character">
    <w:name w:val="footnote reference"/>
    <w:next w:val="style17"/>
    <w:rPr>
      <w:vertAlign w:val="superscript"/>
    </w:rPr>
  </w:style>
  <w:style w:styleId="style18" w:type="character">
    <w:name w:val="Enlace de Internet"/>
    <w:next w:val="style18"/>
    <w:rPr>
      <w:color w:val="0000FF"/>
      <w:u w:val="single"/>
      <w:lang w:bidi="es-ES" w:eastAsia="es-ES" w:val="es-ES"/>
    </w:rPr>
  </w:style>
  <w:style w:styleId="style19" w:type="character">
    <w:name w:val="Texto de globo Car"/>
    <w:next w:val="style19"/>
    <w:rPr>
      <w:rFonts w:ascii="Tahoma" w:cs="Tahoma" w:hAnsi="Tahoma"/>
      <w:sz w:val="16"/>
      <w:szCs w:val="16"/>
    </w:rPr>
  </w:style>
  <w:style w:styleId="style20" w:type="character">
    <w:name w:val="Encabezado Car"/>
    <w:basedOn w:val="style15"/>
    <w:next w:val="style20"/>
    <w:rPr/>
  </w:style>
  <w:style w:styleId="style21" w:type="character">
    <w:name w:val="Pie de página Car"/>
    <w:basedOn w:val="style15"/>
    <w:next w:val="style21"/>
    <w:rPr/>
  </w:style>
  <w:style w:styleId="style22" w:type="character">
    <w:name w:val="Intense Reference"/>
    <w:next w:val="style22"/>
    <w:rPr>
      <w:b/>
      <w:bCs/>
      <w:smallCaps/>
      <w:color w:val="C0504D"/>
      <w:spacing w:val="5"/>
      <w:u w:val="single"/>
    </w:rPr>
  </w:style>
  <w:style w:styleId="style23" w:type="character">
    <w:name w:val="Título 1 Car"/>
    <w:next w:val="style23"/>
    <w:rPr>
      <w:rFonts w:ascii="Cambria" w:cs="Times New Roman" w:eastAsia="Times New Roman" w:hAnsi="Cambria"/>
      <w:b/>
      <w:bCs/>
      <w:sz w:val="32"/>
      <w:szCs w:val="32"/>
      <w:lang w:eastAsia="en-US" w:val="es-ES"/>
    </w:rPr>
  </w:style>
  <w:style w:styleId="style24" w:type="character">
    <w:name w:val="Título 2 Car"/>
    <w:next w:val="style24"/>
    <w:rPr>
      <w:rFonts w:ascii="Cambria" w:cs="Times New Roman" w:eastAsia="Times New Roman" w:hAnsi="Cambria"/>
      <w:b/>
      <w:bCs/>
      <w:i/>
      <w:iCs/>
      <w:sz w:val="28"/>
      <w:szCs w:val="28"/>
      <w:lang w:eastAsia="en-US" w:val="es-ES"/>
    </w:rPr>
  </w:style>
  <w:style w:styleId="style25" w:type="character">
    <w:name w:val="Título 3 Car"/>
    <w:next w:val="style25"/>
    <w:rPr>
      <w:rFonts w:ascii="Cambria" w:cs="Times New Roman" w:eastAsia="Times New Roman" w:hAnsi="Cambria"/>
      <w:b/>
      <w:bCs/>
      <w:sz w:val="26"/>
      <w:szCs w:val="26"/>
      <w:lang w:eastAsia="en-US" w:val="es-ES"/>
    </w:rPr>
  </w:style>
  <w:style w:styleId="style26" w:type="character">
    <w:name w:val="annotation reference"/>
    <w:next w:val="style26"/>
    <w:rPr>
      <w:sz w:val="16"/>
      <w:szCs w:val="16"/>
    </w:rPr>
  </w:style>
  <w:style w:styleId="style27" w:type="character">
    <w:name w:val="Texto comentario Car"/>
    <w:next w:val="style27"/>
    <w:rPr>
      <w:lang w:eastAsia="en-US" w:val="es-ES"/>
    </w:rPr>
  </w:style>
  <w:style w:styleId="style28" w:type="character">
    <w:name w:val="Asunto del comentario Car"/>
    <w:next w:val="style28"/>
    <w:rPr>
      <w:b/>
      <w:bCs/>
      <w:lang w:eastAsia="en-US" w:val="es-ES"/>
    </w:rPr>
  </w:style>
  <w:style w:styleId="style29" w:type="character">
    <w:name w:val="Texto independiente Car"/>
    <w:next w:val="style29"/>
    <w:rPr>
      <w:rFonts w:ascii="Albertus Extra Bold" w:eastAsia="Times New Roman" w:hAnsi="Albertus Extra Bold"/>
      <w:sz w:val="28"/>
      <w:lang w:eastAsia="es-ES" w:val="es-ES"/>
    </w:rPr>
  </w:style>
  <w:style w:styleId="style30" w:type="character">
    <w:name w:val="Muy destacado"/>
    <w:basedOn w:val="style15"/>
    <w:next w:val="style30"/>
    <w:rPr>
      <w:b/>
      <w:bCs/>
    </w:rPr>
  </w:style>
  <w:style w:styleId="style31" w:type="character">
    <w:name w:val="Texto independiente 2 Car"/>
    <w:basedOn w:val="style15"/>
    <w:next w:val="style31"/>
    <w:rPr>
      <w:sz w:val="22"/>
      <w:szCs w:val="22"/>
      <w:lang w:eastAsia="en-US" w:val="es-ES"/>
    </w:rPr>
  </w:style>
  <w:style w:styleId="style32" w:type="character">
    <w:name w:val="ListLabel 1"/>
    <w:next w:val="style32"/>
    <w:rPr>
      <w:rFonts w:cs="Courier New"/>
    </w:rPr>
  </w:style>
  <w:style w:styleId="style33" w:type="character">
    <w:name w:val="ListLabel 2"/>
    <w:next w:val="style33"/>
    <w:rPr>
      <w:color w:val="445555"/>
    </w:rPr>
  </w:style>
  <w:style w:styleId="style34" w:type="character">
    <w:name w:val="Enlace del índice"/>
    <w:next w:val="style34"/>
    <w:rPr/>
  </w:style>
  <w:style w:styleId="style35" w:type="paragraph">
    <w:name w:val="Encabezado"/>
    <w:basedOn w:val="style0"/>
    <w:next w:val="style36"/>
    <w:pPr>
      <w:keepNext/>
      <w:spacing w:after="120" w:before="240"/>
    </w:pPr>
    <w:rPr>
      <w:rFonts w:ascii="Liberation Sans" w:cs="Lohit Hindi" w:eastAsia="Droid Sans" w:hAnsi="Liberation Sans"/>
      <w:sz w:val="28"/>
      <w:szCs w:val="28"/>
    </w:rPr>
  </w:style>
  <w:style w:styleId="style36" w:type="paragraph">
    <w:name w:val="Cuerpo de texto"/>
    <w:basedOn w:val="style0"/>
    <w:next w:val="style36"/>
    <w:pPr>
      <w:spacing w:after="0" w:before="0" w:line="100" w:lineRule="atLeast"/>
      <w:jc w:val="both"/>
    </w:pPr>
    <w:rPr>
      <w:rFonts w:ascii="Albertus Extra Bold" w:eastAsia="Times New Roman" w:hAnsi="Albertus Extra Bold"/>
      <w:sz w:val="28"/>
      <w:szCs w:val="20"/>
      <w:lang w:eastAsia="es-ES"/>
    </w:rPr>
  </w:style>
  <w:style w:styleId="style37" w:type="paragraph">
    <w:name w:val="Lista"/>
    <w:basedOn w:val="style36"/>
    <w:next w:val="style37"/>
    <w:pPr/>
    <w:rPr>
      <w:rFonts w:cs="Lohit Hindi"/>
    </w:rPr>
  </w:style>
  <w:style w:styleId="style38" w:type="paragraph">
    <w:name w:val="Etiqueta"/>
    <w:basedOn w:val="style0"/>
    <w:next w:val="style38"/>
    <w:pPr>
      <w:suppressLineNumbers/>
      <w:spacing w:after="120" w:before="120"/>
    </w:pPr>
    <w:rPr>
      <w:rFonts w:cs="Lohit Hindi"/>
      <w:i/>
      <w:iCs/>
      <w:sz w:val="24"/>
      <w:szCs w:val="24"/>
    </w:rPr>
  </w:style>
  <w:style w:styleId="style39" w:type="paragraph">
    <w:name w:val="Índice"/>
    <w:basedOn w:val="style0"/>
    <w:next w:val="style39"/>
    <w:pPr>
      <w:suppressLineNumbers/>
    </w:pPr>
    <w:rPr>
      <w:rFonts w:cs="Lohit Hindi"/>
    </w:rPr>
  </w:style>
  <w:style w:styleId="style40" w:type="paragraph">
    <w:name w:val="footnote text"/>
    <w:basedOn w:val="style0"/>
    <w:next w:val="style40"/>
    <w:pPr>
      <w:spacing w:after="0" w:before="0" w:line="100" w:lineRule="atLeast"/>
    </w:pPr>
    <w:rPr>
      <w:sz w:val="20"/>
      <w:szCs w:val="20"/>
    </w:rPr>
  </w:style>
  <w:style w:styleId="style41" w:type="paragraph">
    <w:name w:val="List Paragraph"/>
    <w:basedOn w:val="style0"/>
    <w:next w:val="style41"/>
    <w:pPr>
      <w:ind w:hanging="0" w:left="720" w:right="0"/>
    </w:pPr>
    <w:rPr/>
  </w:style>
  <w:style w:styleId="style42" w:type="paragraph">
    <w:name w:val="Balloon Text"/>
    <w:basedOn w:val="style0"/>
    <w:next w:val="style42"/>
    <w:pPr>
      <w:spacing w:after="0" w:before="0" w:line="100" w:lineRule="atLeast"/>
    </w:pPr>
    <w:rPr>
      <w:rFonts w:ascii="Tahoma" w:hAnsi="Tahoma"/>
      <w:sz w:val="16"/>
      <w:szCs w:val="16"/>
    </w:rPr>
  </w:style>
  <w:style w:styleId="style43" w:type="paragraph">
    <w:name w:val="Encabezamiento"/>
    <w:basedOn w:val="style0"/>
    <w:next w:val="style43"/>
    <w:pPr>
      <w:suppressLineNumbers/>
      <w:tabs>
        <w:tab w:leader="none" w:pos="4252" w:val="center"/>
        <w:tab w:leader="none" w:pos="8504" w:val="right"/>
      </w:tabs>
      <w:spacing w:after="0" w:before="0" w:line="100" w:lineRule="atLeast"/>
    </w:pPr>
    <w:rPr/>
  </w:style>
  <w:style w:styleId="style44" w:type="paragraph">
    <w:name w:val="Pie de página"/>
    <w:basedOn w:val="style0"/>
    <w:next w:val="style44"/>
    <w:pPr>
      <w:suppressLineNumbers/>
      <w:tabs>
        <w:tab w:leader="none" w:pos="4252" w:val="center"/>
        <w:tab w:leader="none" w:pos="8504" w:val="right"/>
      </w:tabs>
      <w:spacing w:after="0" w:before="0" w:line="100" w:lineRule="atLeast"/>
    </w:pPr>
    <w:rPr/>
  </w:style>
  <w:style w:styleId="style45" w:type="paragraph">
    <w:name w:val="Encabezado del índice"/>
    <w:basedOn w:val="style1"/>
    <w:next w:val="style45"/>
    <w:pPr>
      <w:keepLines/>
      <w:suppressLineNumbers/>
      <w:spacing w:after="0" w:before="480"/>
    </w:pPr>
    <w:rPr>
      <w:b/>
      <w:bCs/>
      <w:color w:val="365F91"/>
      <w:sz w:val="28"/>
      <w:szCs w:val="28"/>
    </w:rPr>
  </w:style>
  <w:style w:styleId="style46" w:type="paragraph">
    <w:name w:val="Índice 1"/>
    <w:basedOn w:val="style0"/>
    <w:next w:val="style46"/>
    <w:pPr>
      <w:tabs>
        <w:tab w:leader="dot" w:pos="8222" w:val="right"/>
      </w:tabs>
      <w:ind w:hanging="0" w:left="0" w:right="0"/>
    </w:pPr>
    <w:rPr/>
  </w:style>
  <w:style w:styleId="style47" w:type="paragraph">
    <w:name w:val="Índice 2"/>
    <w:basedOn w:val="style0"/>
    <w:next w:val="style47"/>
    <w:pPr>
      <w:tabs>
        <w:tab w:leader="dot" w:pos="9909" w:val="right"/>
      </w:tabs>
      <w:ind w:hanging="0" w:left="220" w:right="0"/>
    </w:pPr>
    <w:rPr/>
  </w:style>
  <w:style w:styleId="style48" w:type="paragraph">
    <w:name w:val="Índice 3"/>
    <w:basedOn w:val="style0"/>
    <w:next w:val="style48"/>
    <w:pPr>
      <w:tabs>
        <w:tab w:leader="dot" w:pos="9846" w:val="right"/>
      </w:tabs>
      <w:ind w:hanging="0" w:left="440" w:right="0"/>
    </w:pPr>
    <w:rPr/>
  </w:style>
  <w:style w:styleId="style49" w:type="paragraph">
    <w:name w:val="annotation text"/>
    <w:basedOn w:val="style0"/>
    <w:next w:val="style49"/>
    <w:pPr/>
    <w:rPr>
      <w:sz w:val="20"/>
      <w:szCs w:val="20"/>
    </w:rPr>
  </w:style>
  <w:style w:styleId="style50" w:type="paragraph">
    <w:name w:val="annotation subject"/>
    <w:basedOn w:val="style49"/>
    <w:next w:val="style50"/>
    <w:pPr/>
    <w:rPr>
      <w:b/>
      <w:bCs/>
    </w:rPr>
  </w:style>
  <w:style w:styleId="style51" w:type="paragraph">
    <w:name w:val="Normal"/>
    <w:next w:val="style51"/>
    <w:pPr>
      <w:widowControl/>
      <w:tabs>
        <w:tab w:leader="none" w:pos="708" w:val="left"/>
      </w:tabs>
      <w:suppressAutoHyphens w:val="true"/>
    </w:pPr>
    <w:rPr>
      <w:rFonts w:ascii="Times New Roman" w:cs="Times New Roman" w:eastAsia="Calibri" w:hAnsi="Times New Roman"/>
      <w:color w:val="000000"/>
      <w:sz w:val="24"/>
      <w:szCs w:val="24"/>
      <w:lang w:bidi="ar-SA" w:eastAsia="en-US" w:val="es-VE"/>
    </w:rPr>
  </w:style>
  <w:style w:styleId="style52" w:type="paragraph">
    <w:name w:val="caption"/>
    <w:basedOn w:val="style0"/>
    <w:next w:val="style52"/>
    <w:pPr>
      <w:spacing w:line="100" w:lineRule="atLeast"/>
    </w:pPr>
    <w:rPr>
      <w:i/>
      <w:iCs/>
      <w:color w:val="1F497D"/>
      <w:sz w:val="18"/>
      <w:szCs w:val="18"/>
    </w:rPr>
  </w:style>
  <w:style w:styleId="style53" w:type="paragraph">
    <w:name w:val="table of figures"/>
    <w:basedOn w:val="style0"/>
    <w:next w:val="style53"/>
    <w:pPr>
      <w:spacing w:after="0" w:before="0"/>
    </w:pPr>
    <w:rPr/>
  </w:style>
  <w:style w:styleId="style54" w:type="paragraph">
    <w:name w:val="Body Text 2"/>
    <w:basedOn w:val="style0"/>
    <w:next w:val="style54"/>
    <w:pPr>
      <w:spacing w:after="120" w:before="0" w:line="480" w:lineRule="auto"/>
    </w:pPr>
    <w:rPr/>
  </w:style>
  <w:style w:styleId="style55" w:type="paragraph">
    <w:name w:val="Contenido del marco"/>
    <w:basedOn w:val="style36"/>
    <w:next w:val="style55"/>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6.png"/><Relationship Id="rId3" Type="http://schemas.openxmlformats.org/officeDocument/2006/relationships/image" Target="media/image7.png"/><Relationship Id="rId4" Type="http://schemas.openxmlformats.org/officeDocument/2006/relationships/footer" Target="footer1.xml"/><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wmf"/><Relationship Id="rId11" Type="http://schemas.openxmlformats.org/officeDocument/2006/relationships/image" Target="media/image14.png"/><Relationship Id="rId12" Type="http://schemas.openxmlformats.org/officeDocument/2006/relationships/image" Target="media/image15.wmf"/><Relationship Id="rId13" Type="http://schemas.openxmlformats.org/officeDocument/2006/relationships/image" Target="media/image16.png"/><Relationship Id="rId14" Type="http://schemas.openxmlformats.org/officeDocument/2006/relationships/image" Target="media/image17.wmf"/><Relationship Id="rId15" Type="http://schemas.openxmlformats.org/officeDocument/2006/relationships/image" Target="media/image18.png"/><Relationship Id="rId16" Type="http://schemas.openxmlformats.org/officeDocument/2006/relationships/image" Target="media/image19.png"/><Relationship Id="rId17" Type="http://schemas.openxmlformats.org/officeDocument/2006/relationships/image" Target="media/image20.png"/><Relationship Id="rId18" Type="http://schemas.openxmlformats.org/officeDocument/2006/relationships/image" Target="media/image21.png"/><Relationship Id="rId19" Type="http://schemas.openxmlformats.org/officeDocument/2006/relationships/footer" Target="footer2.xml"/><Relationship Id="rId20" Type="http://schemas.openxmlformats.org/officeDocument/2006/relationships/image" Target="media/image22.png"/><Relationship Id="rId21" Type="http://schemas.openxmlformats.org/officeDocument/2006/relationships/image" Target="media/image23.png"/><Relationship Id="rId22" Type="http://schemas.openxmlformats.org/officeDocument/2006/relationships/image" Target="media/image24.png"/><Relationship Id="rId23" Type="http://schemas.openxmlformats.org/officeDocument/2006/relationships/image" Target="media/image25.png"/><Relationship Id="rId24" Type="http://schemas.openxmlformats.org/officeDocument/2006/relationships/image" Target="media/image26.png"/><Relationship Id="rId25" Type="http://schemas.openxmlformats.org/officeDocument/2006/relationships/image" Target="media/image27.png"/><Relationship Id="rId26" Type="http://schemas.openxmlformats.org/officeDocument/2006/relationships/image" Target="media/image28.png"/><Relationship Id="rId27" Type="http://schemas.openxmlformats.org/officeDocument/2006/relationships/image" Target="media/image29.png"/><Relationship Id="rId28" Type="http://schemas.openxmlformats.org/officeDocument/2006/relationships/image" Target="media/image30.png"/><Relationship Id="rId29" Type="http://schemas.openxmlformats.org/officeDocument/2006/relationships/image" Target="media/image31.png"/><Relationship Id="rId30" Type="http://schemas.openxmlformats.org/officeDocument/2006/relationships/image" Target="media/image32.png"/><Relationship Id="rId31" Type="http://schemas.openxmlformats.org/officeDocument/2006/relationships/image" Target="media/image33.jpeg"/><Relationship Id="rId32" Type="http://schemas.openxmlformats.org/officeDocument/2006/relationships/numbering" Target="numbering.xml"/><Relationship Id="rId33"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153</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2015-10-13T03:27:00.00Z</dcterms:created>
  <dc:creator>Paulo Macedo</dc:creator>
  <cp:lastModifiedBy>Bunker venezuela C.A</cp:lastModifiedBy>
  <cp:lastPrinted>2015-10-23T20:13:00.00Z</cp:lastPrinted>
  <dcterms:modified xsi:type="dcterms:W3CDTF">2015-10-23T20:17:00.00Z</dcterms:modified>
  <cp:revision>5</cp:revision>
</cp:coreProperties>
</file>